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34878" w14:textId="77777777" w:rsidR="00317B37" w:rsidRPr="0030461F" w:rsidRDefault="008C6B2E" w:rsidP="001677D9">
      <w:pPr>
        <w:tabs>
          <w:tab w:val="left" w:pos="14310"/>
        </w:tabs>
        <w:spacing w:before="60" w:after="0"/>
        <w:ind w:left="2160" w:right="-270"/>
        <w:rPr>
          <w:rStyle w:val="Strong"/>
          <w:rFonts w:ascii="Century Gothic" w:eastAsia="Times New Roman" w:hAnsi="Century Gothic" w:cs="Tahoma"/>
          <w:i/>
          <w:color w:val="595959" w:themeColor="text1" w:themeTint="A6"/>
          <w:sz w:val="30"/>
          <w:szCs w:val="30"/>
        </w:rPr>
      </w:pPr>
      <w:r w:rsidRPr="0030461F">
        <w:rPr>
          <w:noProof/>
          <w:sz w:val="32"/>
          <w:szCs w:val="32"/>
        </w:rPr>
        <w:drawing>
          <wp:anchor distT="0" distB="0" distL="114300" distR="114300" simplePos="0" relativeHeight="251658240" behindDoc="1" locked="0" layoutInCell="1" allowOverlap="1" wp14:anchorId="168442E7" wp14:editId="6B07434D">
            <wp:simplePos x="0" y="0"/>
            <wp:positionH relativeFrom="margin">
              <wp:posOffset>-112395</wp:posOffset>
            </wp:positionH>
            <wp:positionV relativeFrom="paragraph">
              <wp:posOffset>-263525</wp:posOffset>
            </wp:positionV>
            <wp:extent cx="1466850" cy="704850"/>
            <wp:effectExtent l="0" t="0" r="0" b="0"/>
            <wp:wrapNone/>
            <wp:docPr id="3" name="Picture 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677D9" w:rsidRPr="0030461F">
        <w:rPr>
          <w:rStyle w:val="Strong"/>
          <w:rFonts w:ascii="Century Gothic" w:eastAsia="Times New Roman" w:hAnsi="Century Gothic" w:cs="Tahoma"/>
          <w:color w:val="595959" w:themeColor="text1" w:themeTint="A6"/>
          <w:sz w:val="32"/>
          <w:szCs w:val="32"/>
        </w:rPr>
        <w:t>Woman-Maternal Domain</w:t>
      </w:r>
      <w:r w:rsidR="001677D9">
        <w:rPr>
          <w:rStyle w:val="Strong"/>
          <w:rFonts w:ascii="Century Gothic" w:eastAsia="Times New Roman" w:hAnsi="Century Gothic" w:cs="Tahoma"/>
          <w:color w:val="595959" w:themeColor="text1" w:themeTint="A6"/>
          <w:sz w:val="30"/>
          <w:szCs w:val="30"/>
        </w:rPr>
        <w:t xml:space="preserve">      </w:t>
      </w:r>
      <w:r w:rsidR="00D21952" w:rsidRPr="0030461F">
        <w:rPr>
          <w:rStyle w:val="Strong"/>
          <w:rFonts w:ascii="Century Gothic" w:eastAsia="Times New Roman" w:hAnsi="Century Gothic" w:cs="Tahoma"/>
          <w:i/>
          <w:color w:val="595959" w:themeColor="text1" w:themeTint="A6"/>
          <w:sz w:val="26"/>
          <w:szCs w:val="26"/>
        </w:rPr>
        <w:t>Recorder</w:t>
      </w:r>
      <w:r w:rsidR="002C2137" w:rsidRPr="0030461F">
        <w:rPr>
          <w:rStyle w:val="Strong"/>
          <w:rFonts w:ascii="Century Gothic" w:eastAsia="Times New Roman" w:hAnsi="Century Gothic" w:cs="Tahoma"/>
          <w:i/>
          <w:color w:val="595959" w:themeColor="text1" w:themeTint="A6"/>
          <w:sz w:val="26"/>
          <w:szCs w:val="26"/>
        </w:rPr>
        <w:t>:</w:t>
      </w:r>
      <w:r w:rsidR="001677D9" w:rsidRPr="0030461F">
        <w:rPr>
          <w:rStyle w:val="Strong"/>
          <w:rFonts w:ascii="Century Gothic" w:eastAsia="Times New Roman" w:hAnsi="Century Gothic" w:cs="Tahoma"/>
          <w:i/>
          <w:color w:val="595959" w:themeColor="text1" w:themeTint="A6"/>
          <w:sz w:val="26"/>
          <w:szCs w:val="26"/>
        </w:rPr>
        <w:t xml:space="preserve"> Diane Daldrup      Facilitator: Stephanie Wolf</w:t>
      </w:r>
    </w:p>
    <w:p w14:paraId="30100048" w14:textId="77777777" w:rsidR="00197379" w:rsidRDefault="00197379" w:rsidP="008C6B2E">
      <w:pPr>
        <w:spacing w:after="0"/>
        <w:rPr>
          <w:rFonts w:ascii="Century Gothic" w:hAnsi="Century Gothic" w:cs="Calibri"/>
          <w:b/>
          <w:sz w:val="20"/>
          <w:szCs w:val="24"/>
        </w:rPr>
      </w:pPr>
      <w:r>
        <w:rPr>
          <w:noProof/>
        </w:rPr>
        <mc:AlternateContent>
          <mc:Choice Requires="wps">
            <w:drawing>
              <wp:anchor distT="0" distB="0" distL="114300" distR="114300" simplePos="0" relativeHeight="251660288" behindDoc="0" locked="0" layoutInCell="1" allowOverlap="1" wp14:anchorId="10ADC155" wp14:editId="74DEA421">
                <wp:simplePos x="0" y="0"/>
                <wp:positionH relativeFrom="margin">
                  <wp:posOffset>1306830</wp:posOffset>
                </wp:positionH>
                <wp:positionV relativeFrom="paragraph">
                  <wp:posOffset>23495</wp:posOffset>
                </wp:positionV>
                <wp:extent cx="7950835" cy="0"/>
                <wp:effectExtent l="0" t="0" r="31115" b="19050"/>
                <wp:wrapNone/>
                <wp:docPr id="15" name="Straight Connector 15"/>
                <wp:cNvGraphicFramePr/>
                <a:graphic xmlns:a="http://schemas.openxmlformats.org/drawingml/2006/main">
                  <a:graphicData uri="http://schemas.microsoft.com/office/word/2010/wordprocessingShape">
                    <wps:wsp>
                      <wps:cNvCnPr/>
                      <wps:spPr>
                        <a:xfrm>
                          <a:off x="0" y="0"/>
                          <a:ext cx="795083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7AF6D"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72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" strokecolor="#ed7d31 [3205]" strokeweight="1.5pt">
                <v:stroke joinstyle="miter"/>
                <w10:wrap anchorx="margin"/>
              </v:line>
            </w:pict>
          </mc:Fallback>
        </mc:AlternateContent>
      </w:r>
    </w:p>
    <w:tbl>
      <w:tblPr>
        <w:tblW w:w="14940" w:type="dxa"/>
        <w:tblInd w:w="-27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4793"/>
        <w:gridCol w:w="5130"/>
        <w:gridCol w:w="5017"/>
      </w:tblGrid>
      <w:tr w:rsidR="0030461F" w:rsidRPr="00103AAC" w14:paraId="1F5705D4" w14:textId="77777777" w:rsidTr="0030461F">
        <w:trPr>
          <w:cantSplit/>
          <w:trHeight w:val="620"/>
          <w:tblHeader/>
        </w:trPr>
        <w:tc>
          <w:tcPr>
            <w:tcW w:w="4793" w:type="dxa"/>
            <w:shd w:val="clear" w:color="auto" w:fill="C7E8F5"/>
            <w:vAlign w:val="center"/>
          </w:tcPr>
          <w:p w14:paraId="584CCE8C" w14:textId="77777777" w:rsidR="0030461F" w:rsidRDefault="0030461F" w:rsidP="00AF03C5">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 xml:space="preserve">Gaps and Challenges Around </w:t>
            </w:r>
          </w:p>
          <w:p w14:paraId="159CB74A" w14:textId="77777777" w:rsidR="0030461F" w:rsidRPr="007653FA" w:rsidRDefault="0030461F" w:rsidP="00AF03C5">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Alignment Opportunities</w:t>
            </w:r>
          </w:p>
        </w:tc>
        <w:tc>
          <w:tcPr>
            <w:tcW w:w="5130" w:type="dxa"/>
            <w:shd w:val="clear" w:color="auto" w:fill="C7E8F5"/>
            <w:vAlign w:val="center"/>
          </w:tcPr>
          <w:p w14:paraId="383050F9" w14:textId="77777777" w:rsidR="0030461F" w:rsidRPr="007653FA" w:rsidRDefault="0030461F" w:rsidP="00BC1A1A">
            <w:pPr>
              <w:spacing w:after="0" w:line="240" w:lineRule="auto"/>
              <w:jc w:val="center"/>
              <w:rPr>
                <w:rFonts w:ascii="Century Gothic" w:hAnsi="Century Gothic"/>
                <w:b/>
                <w:i/>
                <w:color w:val="0070C0"/>
                <w:sz w:val="20"/>
                <w:szCs w:val="20"/>
              </w:rPr>
            </w:pPr>
            <w:r>
              <w:rPr>
                <w:rFonts w:ascii="Century Gothic" w:hAnsi="Century Gothic"/>
                <w:b/>
                <w:color w:val="0070C0"/>
                <w:sz w:val="20"/>
                <w:szCs w:val="20"/>
              </w:rPr>
              <w:t>Action Items for Collaboration and/or Improvements</w:t>
            </w:r>
          </w:p>
        </w:tc>
        <w:tc>
          <w:tcPr>
            <w:tcW w:w="5017" w:type="dxa"/>
            <w:shd w:val="clear" w:color="auto" w:fill="C7E8F5"/>
            <w:vAlign w:val="center"/>
          </w:tcPr>
          <w:p w14:paraId="309F380D" w14:textId="77777777" w:rsidR="0030461F" w:rsidRDefault="0030461F" w:rsidP="006555CB">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Next Step Responsibility:</w:t>
            </w:r>
          </w:p>
          <w:p w14:paraId="67360B29" w14:textId="77777777" w:rsidR="0030461F" w:rsidRDefault="0030461F" w:rsidP="006555CB">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Who? By when?</w:t>
            </w:r>
          </w:p>
        </w:tc>
      </w:tr>
      <w:tr w:rsidR="0030461F" w:rsidRPr="00103AAC" w14:paraId="69C24935" w14:textId="77777777" w:rsidTr="0030461F">
        <w:trPr>
          <w:cantSplit/>
          <w:trHeight w:val="665"/>
        </w:trPr>
        <w:tc>
          <w:tcPr>
            <w:tcW w:w="14940" w:type="dxa"/>
            <w:gridSpan w:val="3"/>
            <w:shd w:val="clear" w:color="auto" w:fill="FFFFFF" w:themeFill="background1"/>
            <w:tcMar>
              <w:top w:w="72" w:type="dxa"/>
              <w:left w:w="115" w:type="dxa"/>
              <w:bottom w:w="72" w:type="dxa"/>
              <w:right w:w="115" w:type="dxa"/>
            </w:tcMar>
          </w:tcPr>
          <w:p w14:paraId="00BF9572" w14:textId="50D4F1AF" w:rsidR="0030461F" w:rsidRPr="00CF42AA" w:rsidRDefault="0030461F" w:rsidP="00643565">
            <w:pPr>
              <w:pStyle w:val="ListParagraph"/>
              <w:spacing w:after="0" w:line="216" w:lineRule="auto"/>
              <w:ind w:left="-18"/>
              <w:rPr>
                <w:rFonts w:asciiTheme="minorHAnsi" w:hAnsiTheme="minorHAnsi"/>
                <w:sz w:val="20"/>
                <w:szCs w:val="20"/>
              </w:rPr>
            </w:pPr>
            <w:r w:rsidRPr="00CF42AA">
              <w:rPr>
                <w:rFonts w:asciiTheme="minorHAnsi" w:hAnsiTheme="minorHAnsi"/>
                <w:b/>
                <w:sz w:val="20"/>
                <w:szCs w:val="20"/>
              </w:rPr>
              <w:t>MCH Topic:</w:t>
            </w:r>
            <w:r w:rsidRPr="00CF42AA">
              <w:rPr>
                <w:rFonts w:asciiTheme="minorHAnsi" w:hAnsiTheme="minorHAnsi"/>
                <w:sz w:val="20"/>
                <w:szCs w:val="20"/>
              </w:rPr>
              <w:t xml:space="preserve"> Prenatal Education/Care.  Note:  Many statements apply across </w:t>
            </w:r>
            <w:r w:rsidRPr="00CF42AA">
              <w:rPr>
                <w:rFonts w:asciiTheme="minorHAnsi" w:hAnsiTheme="minorHAnsi"/>
                <w:i/>
                <w:sz w:val="20"/>
                <w:szCs w:val="20"/>
              </w:rPr>
              <w:t xml:space="preserve">all </w:t>
            </w:r>
            <w:r w:rsidRPr="00CF42AA">
              <w:rPr>
                <w:rFonts w:asciiTheme="minorHAnsi" w:hAnsiTheme="minorHAnsi"/>
                <w:sz w:val="20"/>
                <w:szCs w:val="20"/>
              </w:rPr>
              <w:t>topics: Prenatal education/care; 17P Barriers; tobacco, alcohol, other substances – NAS; Family caregiver health</w:t>
            </w:r>
          </w:p>
          <w:p w14:paraId="2332AA76" w14:textId="1448940E" w:rsidR="0030461F" w:rsidRPr="00CF42AA" w:rsidRDefault="0030461F" w:rsidP="00643565">
            <w:pPr>
              <w:pStyle w:val="ListParagraph"/>
              <w:spacing w:after="0" w:line="216" w:lineRule="auto"/>
              <w:ind w:left="-18"/>
              <w:rPr>
                <w:rFonts w:asciiTheme="minorHAnsi" w:hAnsiTheme="minorHAnsi"/>
                <w:sz w:val="20"/>
                <w:szCs w:val="20"/>
                <w:u w:val="single"/>
              </w:rPr>
            </w:pPr>
            <w:r w:rsidRPr="00CF42AA">
              <w:rPr>
                <w:rFonts w:asciiTheme="minorHAnsi" w:hAnsiTheme="minorHAnsi"/>
                <w:b/>
                <w:sz w:val="20"/>
                <w:szCs w:val="20"/>
              </w:rPr>
              <w:t>Related MCH Plan Items:</w:t>
            </w:r>
            <w:r w:rsidRPr="00CF42AA">
              <w:rPr>
                <w:rFonts w:asciiTheme="minorHAnsi" w:hAnsiTheme="minorHAnsi"/>
                <w:sz w:val="20"/>
                <w:szCs w:val="20"/>
              </w:rPr>
              <w:t xml:space="preserve"> 1.1, 1.3, 1.2</w:t>
            </w:r>
          </w:p>
        </w:tc>
      </w:tr>
      <w:tr w:rsidR="0030461F" w:rsidRPr="00103AAC" w14:paraId="0EA0BE36" w14:textId="77777777" w:rsidTr="0030461F">
        <w:trPr>
          <w:cantSplit/>
          <w:trHeight w:val="1584"/>
        </w:trPr>
        <w:tc>
          <w:tcPr>
            <w:tcW w:w="4793" w:type="dxa"/>
            <w:shd w:val="clear" w:color="auto" w:fill="FFFFFF" w:themeFill="background1"/>
            <w:tcMar>
              <w:top w:w="72" w:type="dxa"/>
              <w:left w:w="115" w:type="dxa"/>
              <w:bottom w:w="72" w:type="dxa"/>
              <w:right w:w="115" w:type="dxa"/>
            </w:tcMar>
          </w:tcPr>
          <w:p w14:paraId="72A73978" w14:textId="4689954F" w:rsidR="0030461F" w:rsidRPr="00CF42AA" w:rsidRDefault="0030461F" w:rsidP="00376635">
            <w:pPr>
              <w:pStyle w:val="ListParagraph"/>
              <w:numPr>
                <w:ilvl w:val="4"/>
                <w:numId w:val="28"/>
              </w:numPr>
              <w:spacing w:after="0" w:line="216" w:lineRule="auto"/>
              <w:ind w:left="162" w:hanging="180"/>
              <w:rPr>
                <w:rFonts w:asciiTheme="minorHAnsi" w:hAnsiTheme="minorHAnsi"/>
                <w:sz w:val="20"/>
                <w:szCs w:val="20"/>
              </w:rPr>
            </w:pPr>
            <w:r w:rsidRPr="00CF42AA">
              <w:rPr>
                <w:rFonts w:asciiTheme="minorHAnsi" w:hAnsiTheme="minorHAnsi"/>
                <w:sz w:val="20"/>
                <w:szCs w:val="20"/>
              </w:rPr>
              <w:t xml:space="preserve">Cross referrals across MCOs, providers, public health </w:t>
            </w:r>
          </w:p>
          <w:p w14:paraId="14549F91" w14:textId="77777777" w:rsidR="0030461F" w:rsidRPr="00CF42AA" w:rsidRDefault="0030461F" w:rsidP="00376635">
            <w:pPr>
              <w:pStyle w:val="ListParagraph"/>
              <w:numPr>
                <w:ilvl w:val="4"/>
                <w:numId w:val="28"/>
              </w:numPr>
              <w:spacing w:after="0" w:line="216" w:lineRule="auto"/>
              <w:ind w:left="162" w:hanging="180"/>
              <w:rPr>
                <w:rFonts w:asciiTheme="minorHAnsi" w:hAnsiTheme="minorHAnsi"/>
                <w:sz w:val="20"/>
                <w:szCs w:val="20"/>
              </w:rPr>
            </w:pPr>
            <w:r w:rsidRPr="00CF42AA">
              <w:rPr>
                <w:rFonts w:asciiTheme="minorHAnsi" w:hAnsiTheme="minorHAnsi"/>
                <w:sz w:val="20"/>
                <w:szCs w:val="20"/>
              </w:rPr>
              <w:t>Need infrastructure to support direct ref. mechanism</w:t>
            </w:r>
          </w:p>
          <w:p w14:paraId="0D7A319B" w14:textId="2A429823" w:rsidR="0030461F" w:rsidRPr="00CF42AA" w:rsidRDefault="0030461F" w:rsidP="00376635">
            <w:pPr>
              <w:pStyle w:val="ListParagraph"/>
              <w:numPr>
                <w:ilvl w:val="4"/>
                <w:numId w:val="28"/>
              </w:numPr>
              <w:spacing w:after="0" w:line="216" w:lineRule="auto"/>
              <w:ind w:left="162" w:hanging="180"/>
              <w:rPr>
                <w:rFonts w:asciiTheme="minorHAnsi" w:hAnsiTheme="minorHAnsi"/>
                <w:sz w:val="20"/>
                <w:szCs w:val="20"/>
              </w:rPr>
            </w:pPr>
            <w:r w:rsidRPr="00CF42AA">
              <w:rPr>
                <w:rFonts w:asciiTheme="minorHAnsi" w:hAnsiTheme="minorHAnsi"/>
                <w:sz w:val="20"/>
                <w:szCs w:val="20"/>
              </w:rPr>
              <w:t xml:space="preserve"> Centralized ref. system (MIECHV model)</w:t>
            </w:r>
          </w:p>
          <w:p w14:paraId="23CDB611" w14:textId="77777777" w:rsidR="0030461F" w:rsidRPr="00CF42AA" w:rsidRDefault="0030461F" w:rsidP="00376635">
            <w:pPr>
              <w:pStyle w:val="ListParagraph"/>
              <w:numPr>
                <w:ilvl w:val="5"/>
                <w:numId w:val="28"/>
              </w:numPr>
              <w:spacing w:after="0" w:line="216" w:lineRule="auto"/>
              <w:ind w:left="432" w:hanging="180"/>
              <w:rPr>
                <w:rFonts w:asciiTheme="minorHAnsi" w:hAnsiTheme="minorHAnsi"/>
                <w:sz w:val="20"/>
                <w:szCs w:val="20"/>
              </w:rPr>
            </w:pPr>
            <w:r w:rsidRPr="00CF42AA">
              <w:rPr>
                <w:rFonts w:asciiTheme="minorHAnsi" w:hAnsiTheme="minorHAnsi"/>
                <w:sz w:val="20"/>
                <w:szCs w:val="20"/>
              </w:rPr>
              <w:t xml:space="preserve">time to replicate </w:t>
            </w:r>
          </w:p>
          <w:p w14:paraId="25CE6AD7" w14:textId="77777777" w:rsidR="0030461F" w:rsidRPr="00CF42AA" w:rsidRDefault="0030461F" w:rsidP="00376635">
            <w:pPr>
              <w:pStyle w:val="ListParagraph"/>
              <w:numPr>
                <w:ilvl w:val="5"/>
                <w:numId w:val="28"/>
              </w:numPr>
              <w:spacing w:after="0" w:line="216" w:lineRule="auto"/>
              <w:ind w:left="432" w:hanging="180"/>
              <w:rPr>
                <w:rFonts w:asciiTheme="minorHAnsi" w:hAnsiTheme="minorHAnsi"/>
                <w:sz w:val="20"/>
                <w:szCs w:val="20"/>
              </w:rPr>
            </w:pPr>
            <w:r w:rsidRPr="00CF42AA">
              <w:rPr>
                <w:rFonts w:asciiTheme="minorHAnsi" w:hAnsiTheme="minorHAnsi"/>
                <w:sz w:val="20"/>
                <w:szCs w:val="20"/>
              </w:rPr>
              <w:t>Services - lack of continuity of approach</w:t>
            </w:r>
          </w:p>
          <w:p w14:paraId="7AE58A93" w14:textId="77777777" w:rsidR="0030461F" w:rsidRPr="00CF42AA" w:rsidRDefault="0030461F" w:rsidP="00376635">
            <w:pPr>
              <w:pStyle w:val="ListParagraph"/>
              <w:numPr>
                <w:ilvl w:val="5"/>
                <w:numId w:val="28"/>
              </w:numPr>
              <w:spacing w:after="0" w:line="216" w:lineRule="auto"/>
              <w:ind w:left="432" w:hanging="180"/>
              <w:rPr>
                <w:rFonts w:asciiTheme="minorHAnsi" w:hAnsiTheme="minorHAnsi"/>
                <w:sz w:val="20"/>
                <w:szCs w:val="20"/>
              </w:rPr>
            </w:pPr>
            <w:r w:rsidRPr="00CF42AA">
              <w:rPr>
                <w:rFonts w:asciiTheme="minorHAnsi" w:hAnsiTheme="minorHAnsi"/>
                <w:sz w:val="20"/>
                <w:szCs w:val="20"/>
              </w:rPr>
              <w:t>Regarding centralized ref. system:</w:t>
            </w:r>
          </w:p>
          <w:p w14:paraId="53022CC0" w14:textId="77777777" w:rsidR="0030461F" w:rsidRPr="00CF42AA" w:rsidRDefault="0030461F" w:rsidP="00376635">
            <w:pPr>
              <w:pStyle w:val="ListParagraph"/>
              <w:numPr>
                <w:ilvl w:val="6"/>
                <w:numId w:val="28"/>
              </w:numPr>
              <w:spacing w:after="0" w:line="216" w:lineRule="auto"/>
              <w:ind w:left="612" w:hanging="180"/>
              <w:rPr>
                <w:rFonts w:asciiTheme="minorHAnsi" w:hAnsiTheme="minorHAnsi"/>
                <w:sz w:val="20"/>
                <w:szCs w:val="20"/>
              </w:rPr>
            </w:pPr>
            <w:r w:rsidRPr="00CF42AA">
              <w:rPr>
                <w:rFonts w:asciiTheme="minorHAnsi" w:hAnsiTheme="minorHAnsi"/>
                <w:sz w:val="20"/>
                <w:szCs w:val="20"/>
              </w:rPr>
              <w:t>Include KPQC</w:t>
            </w:r>
          </w:p>
          <w:p w14:paraId="157BABA0" w14:textId="77777777" w:rsidR="0030461F" w:rsidRPr="00CF42AA" w:rsidRDefault="0030461F" w:rsidP="00376635">
            <w:pPr>
              <w:pStyle w:val="ListParagraph"/>
              <w:numPr>
                <w:ilvl w:val="6"/>
                <w:numId w:val="28"/>
              </w:numPr>
              <w:spacing w:after="0" w:line="216" w:lineRule="auto"/>
              <w:ind w:left="612" w:hanging="180"/>
              <w:rPr>
                <w:rFonts w:asciiTheme="minorHAnsi" w:hAnsiTheme="minorHAnsi"/>
                <w:sz w:val="20"/>
                <w:szCs w:val="20"/>
              </w:rPr>
            </w:pPr>
            <w:r w:rsidRPr="00CF42AA">
              <w:rPr>
                <w:rFonts w:asciiTheme="minorHAnsi" w:hAnsiTheme="minorHAnsi"/>
                <w:sz w:val="20"/>
                <w:szCs w:val="20"/>
              </w:rPr>
              <w:t>Family/patient engagement</w:t>
            </w:r>
          </w:p>
          <w:p w14:paraId="4473E5DA" w14:textId="77777777" w:rsidR="0030461F" w:rsidRPr="00CF42AA" w:rsidRDefault="0030461F" w:rsidP="00376635">
            <w:pPr>
              <w:pStyle w:val="ListParagraph"/>
              <w:numPr>
                <w:ilvl w:val="6"/>
                <w:numId w:val="28"/>
              </w:numPr>
              <w:spacing w:after="0" w:line="216" w:lineRule="auto"/>
              <w:ind w:left="612" w:hanging="180"/>
              <w:rPr>
                <w:rFonts w:asciiTheme="minorHAnsi" w:hAnsiTheme="minorHAnsi"/>
                <w:sz w:val="20"/>
                <w:szCs w:val="20"/>
              </w:rPr>
            </w:pPr>
            <w:r w:rsidRPr="00CF42AA">
              <w:rPr>
                <w:rFonts w:asciiTheme="minorHAnsi" w:hAnsiTheme="minorHAnsi"/>
                <w:sz w:val="20"/>
                <w:szCs w:val="20"/>
              </w:rPr>
              <w:t>Think beyond mandates (serving mother of child covered P loses coverage 2 month pp – i.e. case manage</w:t>
            </w:r>
          </w:p>
          <w:p w14:paraId="2D45B609" w14:textId="77777777" w:rsidR="0030461F" w:rsidRPr="00CF42AA" w:rsidRDefault="0030461F" w:rsidP="00376635">
            <w:pPr>
              <w:pStyle w:val="ListParagraph"/>
              <w:numPr>
                <w:ilvl w:val="4"/>
                <w:numId w:val="28"/>
              </w:numPr>
              <w:spacing w:after="0" w:line="216" w:lineRule="auto"/>
              <w:ind w:left="162" w:hanging="180"/>
              <w:rPr>
                <w:rFonts w:asciiTheme="minorHAnsi" w:hAnsiTheme="minorHAnsi"/>
                <w:sz w:val="20"/>
                <w:szCs w:val="20"/>
              </w:rPr>
            </w:pPr>
            <w:r w:rsidRPr="00CF42AA">
              <w:rPr>
                <w:rFonts w:asciiTheme="minorHAnsi" w:hAnsiTheme="minorHAnsi"/>
                <w:sz w:val="20"/>
                <w:szCs w:val="20"/>
              </w:rPr>
              <w:t>Lack of best practices (promising practices)</w:t>
            </w:r>
          </w:p>
          <w:p w14:paraId="666548F0" w14:textId="77777777" w:rsidR="0030461F" w:rsidRPr="00CF42AA" w:rsidRDefault="0030461F" w:rsidP="001D54D3">
            <w:pPr>
              <w:spacing w:after="0" w:line="216" w:lineRule="auto"/>
              <w:rPr>
                <w:sz w:val="20"/>
                <w:szCs w:val="20"/>
              </w:rPr>
            </w:pPr>
          </w:p>
        </w:tc>
        <w:tc>
          <w:tcPr>
            <w:tcW w:w="5130" w:type="dxa"/>
            <w:vMerge w:val="restart"/>
          </w:tcPr>
          <w:p w14:paraId="56AC1EF0" w14:textId="57D33308" w:rsidR="0030461F" w:rsidRPr="00CF42AA" w:rsidRDefault="0030461F" w:rsidP="002C2137">
            <w:pPr>
              <w:pStyle w:val="ListParagraph"/>
              <w:spacing w:after="0" w:line="216" w:lineRule="auto"/>
              <w:ind w:left="0"/>
              <w:rPr>
                <w:rFonts w:asciiTheme="minorHAnsi" w:hAnsiTheme="minorHAnsi"/>
                <w:color w:val="000000" w:themeColor="text1"/>
                <w:sz w:val="20"/>
                <w:szCs w:val="20"/>
              </w:rPr>
            </w:pPr>
            <w:r w:rsidRPr="00CF42AA">
              <w:rPr>
                <w:rFonts w:asciiTheme="minorHAnsi" w:hAnsiTheme="minorHAnsi"/>
                <w:color w:val="000000" w:themeColor="text1"/>
                <w:sz w:val="20"/>
                <w:szCs w:val="20"/>
              </w:rPr>
              <w:t>Central intake and referral model (Help Me Grow and IRIS implementation?)</w:t>
            </w:r>
          </w:p>
          <w:p w14:paraId="242BD1C7" w14:textId="77777777" w:rsidR="0030461F" w:rsidRPr="00CF42AA" w:rsidRDefault="0030461F" w:rsidP="002C2137">
            <w:pPr>
              <w:pStyle w:val="ListParagraph"/>
              <w:spacing w:after="0" w:line="216" w:lineRule="auto"/>
              <w:ind w:left="0"/>
              <w:rPr>
                <w:rFonts w:asciiTheme="minorHAnsi" w:hAnsiTheme="minorHAnsi"/>
                <w:color w:val="000000" w:themeColor="text1"/>
                <w:sz w:val="20"/>
                <w:szCs w:val="20"/>
              </w:rPr>
            </w:pPr>
          </w:p>
          <w:p w14:paraId="401B8B0C" w14:textId="5C599C36" w:rsidR="0030461F" w:rsidRPr="00CF42AA" w:rsidRDefault="0030461F" w:rsidP="002C2137">
            <w:pPr>
              <w:pStyle w:val="ListParagraph"/>
              <w:spacing w:after="0" w:line="216" w:lineRule="auto"/>
              <w:ind w:left="0"/>
              <w:rPr>
                <w:rFonts w:asciiTheme="minorHAnsi" w:hAnsiTheme="minorHAnsi"/>
                <w:color w:val="000000" w:themeColor="text1"/>
                <w:sz w:val="20"/>
                <w:szCs w:val="20"/>
              </w:rPr>
            </w:pPr>
            <w:r w:rsidRPr="00CF42AA">
              <w:rPr>
                <w:rFonts w:asciiTheme="minorHAnsi" w:hAnsiTheme="minorHAnsi"/>
                <w:color w:val="000000" w:themeColor="text1"/>
                <w:sz w:val="20"/>
                <w:szCs w:val="20"/>
              </w:rPr>
              <w:t>KMCHC provides/develops MCH best practices we promote/define across organizations (MCOs, private insurance, public health, private providers)</w:t>
            </w:r>
          </w:p>
          <w:p w14:paraId="7BB21755" w14:textId="77777777" w:rsidR="0030461F" w:rsidRPr="00CF42AA" w:rsidRDefault="0030461F" w:rsidP="002C2137">
            <w:pPr>
              <w:spacing w:after="0" w:line="216" w:lineRule="auto"/>
              <w:rPr>
                <w:color w:val="000000" w:themeColor="text1"/>
                <w:sz w:val="20"/>
                <w:szCs w:val="20"/>
              </w:rPr>
            </w:pPr>
            <w:r w:rsidRPr="00CF42AA">
              <w:rPr>
                <w:rFonts w:eastAsia="Calibri" w:cs="Times New Roman"/>
                <w:color w:val="000000" w:themeColor="text1"/>
                <w:sz w:val="20"/>
                <w:szCs w:val="20"/>
              </w:rPr>
              <w:t xml:space="preserve"> </w:t>
            </w:r>
            <w:r w:rsidRPr="00CF42AA">
              <w:rPr>
                <w:color w:val="000000" w:themeColor="text1"/>
                <w:sz w:val="20"/>
                <w:szCs w:val="20"/>
              </w:rPr>
              <w:t xml:space="preserve">   - Medicaid uses these for reimbursement of MCOs</w:t>
            </w:r>
          </w:p>
          <w:p w14:paraId="7A361F1F" w14:textId="77777777" w:rsidR="0030461F" w:rsidRPr="00CF42AA" w:rsidRDefault="0030461F" w:rsidP="002C2137">
            <w:pPr>
              <w:spacing w:after="0" w:line="216" w:lineRule="auto"/>
              <w:rPr>
                <w:color w:val="000000" w:themeColor="text1"/>
                <w:sz w:val="20"/>
                <w:szCs w:val="20"/>
              </w:rPr>
            </w:pPr>
          </w:p>
          <w:p w14:paraId="0954E339" w14:textId="77777777" w:rsidR="0030461F" w:rsidRPr="00CF42AA" w:rsidRDefault="0030461F" w:rsidP="002C2137">
            <w:pPr>
              <w:spacing w:after="0" w:line="216" w:lineRule="auto"/>
              <w:rPr>
                <w:color w:val="000000" w:themeColor="text1"/>
                <w:sz w:val="20"/>
                <w:szCs w:val="20"/>
              </w:rPr>
            </w:pPr>
          </w:p>
          <w:p w14:paraId="189DB808" w14:textId="614C5D09" w:rsidR="0030461F" w:rsidRPr="00CF42AA" w:rsidRDefault="0030461F" w:rsidP="00511943">
            <w:pPr>
              <w:pStyle w:val="ListParagraph"/>
              <w:spacing w:after="0" w:line="216" w:lineRule="auto"/>
              <w:ind w:left="0"/>
              <w:rPr>
                <w:rFonts w:asciiTheme="minorHAnsi" w:hAnsiTheme="minorHAnsi"/>
                <w:color w:val="000000" w:themeColor="text1"/>
                <w:sz w:val="20"/>
                <w:szCs w:val="20"/>
              </w:rPr>
            </w:pPr>
            <w:r w:rsidRPr="00CF42AA">
              <w:rPr>
                <w:rFonts w:asciiTheme="minorHAnsi" w:hAnsiTheme="minorHAnsi"/>
                <w:color w:val="000000" w:themeColor="text1"/>
                <w:sz w:val="20"/>
                <w:szCs w:val="20"/>
              </w:rPr>
              <w:t>Recommend for what moves out of value added to required</w:t>
            </w:r>
          </w:p>
          <w:p w14:paraId="75A9D8D4" w14:textId="77777777" w:rsidR="0030461F" w:rsidRPr="00CF42AA" w:rsidRDefault="0030461F" w:rsidP="001D54D3">
            <w:pPr>
              <w:pStyle w:val="ListParagraph"/>
              <w:spacing w:after="0" w:line="216" w:lineRule="auto"/>
              <w:ind w:left="342"/>
              <w:rPr>
                <w:rFonts w:asciiTheme="minorHAnsi" w:hAnsiTheme="minorHAnsi"/>
                <w:color w:val="000000" w:themeColor="text1"/>
                <w:sz w:val="20"/>
                <w:szCs w:val="20"/>
              </w:rPr>
            </w:pPr>
            <w:r w:rsidRPr="00CF42AA">
              <w:rPr>
                <w:rFonts w:asciiTheme="minorHAnsi" w:hAnsiTheme="minorHAnsi"/>
                <w:color w:val="000000" w:themeColor="text1"/>
                <w:sz w:val="20"/>
                <w:szCs w:val="20"/>
              </w:rPr>
              <w:t>- Recommend on core required services vs. value added</w:t>
            </w:r>
          </w:p>
          <w:p w14:paraId="0FF039A0" w14:textId="77777777" w:rsidR="0030461F" w:rsidRPr="00CF42AA" w:rsidRDefault="0030461F" w:rsidP="001D54D3">
            <w:pPr>
              <w:spacing w:after="0" w:line="216" w:lineRule="auto"/>
              <w:rPr>
                <w:rFonts w:eastAsia="Calibri" w:cs="Times New Roman"/>
                <w:color w:val="000000" w:themeColor="text1"/>
                <w:sz w:val="20"/>
                <w:szCs w:val="20"/>
              </w:rPr>
            </w:pPr>
          </w:p>
          <w:p w14:paraId="0DDF654D" w14:textId="687D5B67" w:rsidR="0030461F" w:rsidRPr="00CF42AA" w:rsidRDefault="0030461F" w:rsidP="001D54D3">
            <w:pPr>
              <w:spacing w:after="0" w:line="216" w:lineRule="auto"/>
              <w:rPr>
                <w:rFonts w:eastAsia="Calibri" w:cs="Times New Roman"/>
                <w:color w:val="000000" w:themeColor="text1"/>
                <w:sz w:val="20"/>
                <w:szCs w:val="20"/>
              </w:rPr>
            </w:pPr>
            <w:r w:rsidRPr="00CF42AA">
              <w:rPr>
                <w:rFonts w:eastAsia="Calibri" w:cs="Times New Roman"/>
                <w:color w:val="000000" w:themeColor="text1"/>
                <w:sz w:val="20"/>
                <w:szCs w:val="20"/>
              </w:rPr>
              <w:t>RFP for MCOs – Allow council to review &amp; give recommendation (Including family engagement)</w:t>
            </w:r>
          </w:p>
          <w:p w14:paraId="4E3DFAF6" w14:textId="77777777" w:rsidR="0030461F" w:rsidRPr="00CF42AA" w:rsidRDefault="0030461F" w:rsidP="00955A58">
            <w:pPr>
              <w:pStyle w:val="ListParagraph"/>
              <w:spacing w:after="0" w:line="216" w:lineRule="auto"/>
              <w:ind w:left="342"/>
              <w:rPr>
                <w:rFonts w:asciiTheme="minorHAnsi" w:hAnsiTheme="minorHAnsi"/>
                <w:color w:val="000000" w:themeColor="text1"/>
                <w:sz w:val="20"/>
                <w:szCs w:val="20"/>
              </w:rPr>
            </w:pPr>
            <w:r w:rsidRPr="00CF42AA">
              <w:rPr>
                <w:rFonts w:asciiTheme="minorHAnsi" w:hAnsiTheme="minorHAnsi"/>
                <w:color w:val="000000" w:themeColor="text1"/>
                <w:sz w:val="20"/>
                <w:szCs w:val="20"/>
              </w:rPr>
              <w:t>- Public comment period should be more known/promoted</w:t>
            </w:r>
          </w:p>
          <w:p w14:paraId="3AD18DDA" w14:textId="77777777" w:rsidR="0030461F" w:rsidRPr="00CF42AA" w:rsidRDefault="0030461F" w:rsidP="001D54D3">
            <w:pPr>
              <w:spacing w:after="0" w:line="216" w:lineRule="auto"/>
              <w:rPr>
                <w:sz w:val="20"/>
                <w:szCs w:val="20"/>
              </w:rPr>
            </w:pPr>
          </w:p>
          <w:p w14:paraId="143BBFE9" w14:textId="77777777" w:rsidR="0030461F" w:rsidRPr="00CF42AA" w:rsidRDefault="0030461F" w:rsidP="00511943">
            <w:pPr>
              <w:pStyle w:val="ListParagraph"/>
              <w:spacing w:after="0" w:line="216" w:lineRule="auto"/>
              <w:ind w:left="0"/>
              <w:rPr>
                <w:rFonts w:asciiTheme="minorHAnsi" w:hAnsiTheme="minorHAnsi"/>
                <w:color w:val="C45911" w:themeColor="accent2" w:themeShade="BF"/>
                <w:sz w:val="20"/>
                <w:szCs w:val="20"/>
              </w:rPr>
            </w:pPr>
          </w:p>
        </w:tc>
        <w:tc>
          <w:tcPr>
            <w:tcW w:w="5017" w:type="dxa"/>
          </w:tcPr>
          <w:p w14:paraId="3FF6BF8D" w14:textId="43B71A5E" w:rsidR="0030461F" w:rsidRDefault="0030461F" w:rsidP="00CF42AA">
            <w:pPr>
              <w:pStyle w:val="ListParagraph"/>
              <w:numPr>
                <w:ilvl w:val="0"/>
                <w:numId w:val="34"/>
              </w:numPr>
              <w:spacing w:after="0" w:line="216" w:lineRule="auto"/>
              <w:ind w:left="162" w:hanging="180"/>
              <w:rPr>
                <w:rFonts w:asciiTheme="minorHAnsi" w:hAnsiTheme="minorHAnsi"/>
                <w:sz w:val="20"/>
                <w:szCs w:val="20"/>
              </w:rPr>
            </w:pPr>
            <w:r w:rsidRPr="00CF42AA">
              <w:rPr>
                <w:rFonts w:asciiTheme="minorHAnsi" w:hAnsiTheme="minorHAnsi"/>
                <w:sz w:val="20"/>
                <w:szCs w:val="20"/>
              </w:rPr>
              <w:t xml:space="preserve">Common formulary for Medicaid payment for prenatal education and care, including payment consistency across all MCOs.  This includes cross-cutting focus areas that are inconsistent in value added services provided by MCOs. </w:t>
            </w:r>
            <w:r w:rsidR="00CF42AA">
              <w:rPr>
                <w:rFonts w:asciiTheme="minorHAnsi" w:hAnsiTheme="minorHAnsi"/>
                <w:sz w:val="20"/>
                <w:szCs w:val="20"/>
              </w:rPr>
              <w:t xml:space="preserve"> *</w:t>
            </w:r>
            <w:r w:rsidRPr="00CF42AA">
              <w:rPr>
                <w:rFonts w:asciiTheme="minorHAnsi" w:hAnsiTheme="minorHAnsi"/>
                <w:sz w:val="20"/>
                <w:szCs w:val="20"/>
              </w:rPr>
              <w:t>KDHE BFH provides interface with Medicaid/MCOs</w:t>
            </w:r>
            <w:r w:rsidR="00CF42AA">
              <w:rPr>
                <w:rFonts w:asciiTheme="minorHAnsi" w:hAnsiTheme="minorHAnsi"/>
                <w:sz w:val="20"/>
                <w:szCs w:val="20"/>
              </w:rPr>
              <w:t>.</w:t>
            </w:r>
          </w:p>
          <w:p w14:paraId="533E0DB5" w14:textId="42CFEFFB" w:rsidR="0030461F" w:rsidRPr="00CF42AA" w:rsidRDefault="0030461F" w:rsidP="00CF42AA">
            <w:pPr>
              <w:pStyle w:val="ListParagraph"/>
              <w:numPr>
                <w:ilvl w:val="0"/>
                <w:numId w:val="34"/>
              </w:numPr>
              <w:spacing w:after="0" w:line="216" w:lineRule="auto"/>
              <w:ind w:left="162" w:hanging="180"/>
              <w:rPr>
                <w:rFonts w:asciiTheme="minorHAnsi" w:hAnsiTheme="minorHAnsi"/>
                <w:sz w:val="20"/>
                <w:szCs w:val="20"/>
              </w:rPr>
            </w:pPr>
            <w:r w:rsidRPr="00CF42AA">
              <w:rPr>
                <w:rFonts w:asciiTheme="minorHAnsi" w:hAnsiTheme="minorHAnsi"/>
                <w:sz w:val="20"/>
                <w:szCs w:val="20"/>
              </w:rPr>
              <w:t>WM Domain members provide input on</w:t>
            </w:r>
            <w:r w:rsidR="00CF42AA">
              <w:rPr>
                <w:rFonts w:asciiTheme="minorHAnsi" w:hAnsiTheme="minorHAnsi"/>
                <w:sz w:val="20"/>
                <w:szCs w:val="20"/>
              </w:rPr>
              <w:t xml:space="preserve"> cross-cutting services.</w:t>
            </w:r>
          </w:p>
        </w:tc>
      </w:tr>
      <w:tr w:rsidR="0030461F" w:rsidRPr="00103AAC" w14:paraId="3843B0DC" w14:textId="77777777" w:rsidTr="0030461F">
        <w:trPr>
          <w:cantSplit/>
          <w:trHeight w:val="1584"/>
        </w:trPr>
        <w:tc>
          <w:tcPr>
            <w:tcW w:w="4793" w:type="dxa"/>
            <w:shd w:val="clear" w:color="auto" w:fill="FFFFFF" w:themeFill="background1"/>
            <w:tcMar>
              <w:top w:w="72" w:type="dxa"/>
              <w:left w:w="115" w:type="dxa"/>
              <w:bottom w:w="72" w:type="dxa"/>
              <w:right w:w="115" w:type="dxa"/>
            </w:tcMar>
          </w:tcPr>
          <w:p w14:paraId="7D5407FF" w14:textId="77777777" w:rsidR="0030461F" w:rsidRPr="00CF42AA" w:rsidRDefault="0030461F" w:rsidP="00511943">
            <w:pPr>
              <w:pStyle w:val="ListParagraph"/>
              <w:spacing w:after="0" w:line="216" w:lineRule="auto"/>
              <w:ind w:left="-18"/>
              <w:rPr>
                <w:rFonts w:asciiTheme="minorHAnsi" w:hAnsiTheme="minorHAnsi"/>
                <w:sz w:val="20"/>
                <w:szCs w:val="20"/>
              </w:rPr>
            </w:pPr>
            <w:r w:rsidRPr="00CF42AA">
              <w:rPr>
                <w:rFonts w:asciiTheme="minorHAnsi" w:hAnsiTheme="minorHAnsi"/>
                <w:sz w:val="20"/>
                <w:szCs w:val="20"/>
              </w:rPr>
              <w:t>NAS – AAP Policy Statement on NAS (March 2017)</w:t>
            </w:r>
          </w:p>
          <w:p w14:paraId="1BC3AB10" w14:textId="183D5F6C" w:rsidR="0030461F" w:rsidRPr="00CF42AA" w:rsidRDefault="0030461F" w:rsidP="00511943">
            <w:pPr>
              <w:pStyle w:val="ListParagraph"/>
              <w:spacing w:after="0" w:line="216" w:lineRule="auto"/>
              <w:ind w:left="-18"/>
              <w:rPr>
                <w:rFonts w:asciiTheme="minorHAnsi" w:hAnsiTheme="minorHAnsi"/>
                <w:sz w:val="20"/>
                <w:szCs w:val="20"/>
              </w:rPr>
            </w:pPr>
            <w:r w:rsidRPr="00CF42AA">
              <w:rPr>
                <w:rFonts w:asciiTheme="minorHAnsi" w:hAnsiTheme="minorHAnsi"/>
                <w:sz w:val="20"/>
                <w:szCs w:val="20"/>
              </w:rPr>
              <w:t>NAS framework issued by ASTHO and NICHQ October 2017.  Goal is to compare AAP policy statement to ASTHO and NICHQ framework for alignment and to identify pediatrician role in NAS identification and treatment.</w:t>
            </w:r>
          </w:p>
          <w:p w14:paraId="3C864E2B" w14:textId="77777777" w:rsidR="0030461F" w:rsidRPr="00CF42AA" w:rsidRDefault="0030461F" w:rsidP="00511943">
            <w:pPr>
              <w:pStyle w:val="ListParagraph"/>
              <w:spacing w:after="0" w:line="216" w:lineRule="auto"/>
              <w:ind w:left="-18"/>
              <w:rPr>
                <w:rFonts w:asciiTheme="minorHAnsi" w:hAnsiTheme="minorHAnsi"/>
                <w:sz w:val="20"/>
                <w:szCs w:val="20"/>
              </w:rPr>
            </w:pPr>
          </w:p>
          <w:p w14:paraId="07719ACC" w14:textId="77777777" w:rsidR="0030461F" w:rsidRPr="00CF42AA" w:rsidRDefault="0030461F" w:rsidP="00BE481F">
            <w:pPr>
              <w:pStyle w:val="ListParagraph"/>
              <w:spacing w:after="0" w:line="216" w:lineRule="auto"/>
              <w:ind w:left="-18"/>
              <w:rPr>
                <w:rFonts w:asciiTheme="minorHAnsi" w:hAnsiTheme="minorHAnsi"/>
                <w:sz w:val="20"/>
                <w:szCs w:val="20"/>
              </w:rPr>
            </w:pPr>
            <w:r w:rsidRPr="00CF42AA">
              <w:rPr>
                <w:rFonts w:asciiTheme="minorHAnsi" w:hAnsiTheme="minorHAnsi"/>
                <w:sz w:val="20"/>
                <w:szCs w:val="20"/>
              </w:rPr>
              <w:t xml:space="preserve">MCOs promote NAS awareness to members and community at large.  </w:t>
            </w:r>
          </w:p>
        </w:tc>
        <w:tc>
          <w:tcPr>
            <w:tcW w:w="5130" w:type="dxa"/>
            <w:vMerge/>
          </w:tcPr>
          <w:p w14:paraId="2C4C290D" w14:textId="77777777" w:rsidR="0030461F" w:rsidRPr="00CF42AA" w:rsidRDefault="0030461F" w:rsidP="00511943">
            <w:pPr>
              <w:pStyle w:val="ListParagraph"/>
              <w:spacing w:after="0" w:line="216" w:lineRule="auto"/>
              <w:ind w:left="0"/>
              <w:rPr>
                <w:rFonts w:asciiTheme="minorHAnsi" w:hAnsiTheme="minorHAnsi"/>
                <w:sz w:val="20"/>
                <w:szCs w:val="20"/>
              </w:rPr>
            </w:pPr>
          </w:p>
        </w:tc>
        <w:tc>
          <w:tcPr>
            <w:tcW w:w="5017" w:type="dxa"/>
          </w:tcPr>
          <w:p w14:paraId="00CFA042" w14:textId="77777777" w:rsidR="0030461F" w:rsidRPr="00CF42AA" w:rsidRDefault="0030461F" w:rsidP="00511943">
            <w:pPr>
              <w:pStyle w:val="ListParagraph"/>
              <w:spacing w:after="0" w:line="216" w:lineRule="auto"/>
              <w:ind w:left="-18"/>
              <w:rPr>
                <w:rFonts w:asciiTheme="minorHAnsi" w:hAnsiTheme="minorHAnsi"/>
                <w:sz w:val="20"/>
                <w:szCs w:val="20"/>
              </w:rPr>
            </w:pPr>
            <w:r w:rsidRPr="00CF42AA">
              <w:rPr>
                <w:rFonts w:asciiTheme="minorHAnsi" w:hAnsiTheme="minorHAnsi"/>
                <w:sz w:val="20"/>
                <w:szCs w:val="20"/>
              </w:rPr>
              <w:t>Provide AAP and ASTHO/NICHQ docs to KMCHC WM Domain group and to Sarah Fischer for incorporation into NAS strategic plan. Share NAS strategic plan with KMCHC members when available.</w:t>
            </w:r>
          </w:p>
        </w:tc>
      </w:tr>
      <w:tr w:rsidR="0030461F" w:rsidRPr="00103AAC" w14:paraId="5566BFD5" w14:textId="77777777" w:rsidTr="0030461F">
        <w:trPr>
          <w:cantSplit/>
          <w:trHeight w:val="638"/>
        </w:trPr>
        <w:tc>
          <w:tcPr>
            <w:tcW w:w="4793" w:type="dxa"/>
            <w:shd w:val="clear" w:color="auto" w:fill="FFFFFF" w:themeFill="background1"/>
            <w:tcMar>
              <w:top w:w="72" w:type="dxa"/>
              <w:left w:w="115" w:type="dxa"/>
              <w:bottom w:w="72" w:type="dxa"/>
              <w:right w:w="115" w:type="dxa"/>
            </w:tcMar>
          </w:tcPr>
          <w:p w14:paraId="5AEAAB3C" w14:textId="77777777" w:rsidR="0030461F" w:rsidRPr="00CF42AA" w:rsidRDefault="0030461F" w:rsidP="00511943">
            <w:pPr>
              <w:pStyle w:val="ListParagraph"/>
              <w:spacing w:after="0" w:line="216" w:lineRule="auto"/>
              <w:ind w:left="-18"/>
              <w:rPr>
                <w:rFonts w:asciiTheme="minorHAnsi" w:hAnsiTheme="minorHAnsi"/>
                <w:sz w:val="20"/>
                <w:szCs w:val="20"/>
              </w:rPr>
            </w:pPr>
            <w:r w:rsidRPr="00CF42AA">
              <w:rPr>
                <w:rFonts w:asciiTheme="minorHAnsi" w:hAnsiTheme="minorHAnsi"/>
                <w:sz w:val="20"/>
                <w:szCs w:val="20"/>
              </w:rPr>
              <w:t>17P – Barriers</w:t>
            </w:r>
          </w:p>
          <w:p w14:paraId="77B80133" w14:textId="77777777" w:rsidR="0030461F" w:rsidRPr="00CF42AA" w:rsidRDefault="0030461F" w:rsidP="00BE481F">
            <w:pPr>
              <w:pStyle w:val="ListParagraph"/>
              <w:numPr>
                <w:ilvl w:val="0"/>
                <w:numId w:val="32"/>
              </w:numPr>
              <w:spacing w:after="0" w:line="216" w:lineRule="auto"/>
              <w:rPr>
                <w:rFonts w:asciiTheme="minorHAnsi" w:hAnsiTheme="minorHAnsi"/>
                <w:sz w:val="20"/>
                <w:szCs w:val="20"/>
              </w:rPr>
            </w:pPr>
            <w:r w:rsidRPr="00CF42AA">
              <w:rPr>
                <w:rFonts w:asciiTheme="minorHAnsi" w:hAnsiTheme="minorHAnsi"/>
                <w:sz w:val="20"/>
                <w:szCs w:val="20"/>
              </w:rPr>
              <w:t xml:space="preserve">Training to public health [?] nurses, Walgreens, etc. </w:t>
            </w:r>
          </w:p>
          <w:p w14:paraId="6912EAA6" w14:textId="77777777" w:rsidR="0030461F" w:rsidRPr="00CF42AA" w:rsidRDefault="0030461F" w:rsidP="00BE481F">
            <w:pPr>
              <w:pStyle w:val="ListParagraph"/>
              <w:numPr>
                <w:ilvl w:val="0"/>
                <w:numId w:val="32"/>
              </w:numPr>
              <w:spacing w:after="0" w:line="216" w:lineRule="auto"/>
              <w:rPr>
                <w:rFonts w:asciiTheme="minorHAnsi" w:hAnsiTheme="minorHAnsi"/>
                <w:sz w:val="20"/>
                <w:szCs w:val="20"/>
              </w:rPr>
            </w:pPr>
            <w:r w:rsidRPr="00CF42AA">
              <w:rPr>
                <w:rFonts w:asciiTheme="minorHAnsi" w:hAnsiTheme="minorHAnsi"/>
                <w:sz w:val="20"/>
                <w:szCs w:val="20"/>
              </w:rPr>
              <w:t>PH reimbursement for 17P administration beyond Optum program.</w:t>
            </w:r>
          </w:p>
          <w:p w14:paraId="15C0DC84" w14:textId="77777777" w:rsidR="0030461F" w:rsidRPr="00CF42AA" w:rsidRDefault="0030461F" w:rsidP="00BE481F">
            <w:pPr>
              <w:pStyle w:val="ListParagraph"/>
              <w:numPr>
                <w:ilvl w:val="0"/>
                <w:numId w:val="32"/>
              </w:numPr>
              <w:spacing w:after="0" w:line="216" w:lineRule="auto"/>
              <w:rPr>
                <w:rFonts w:asciiTheme="minorHAnsi" w:hAnsiTheme="minorHAnsi"/>
                <w:sz w:val="20"/>
                <w:szCs w:val="20"/>
              </w:rPr>
            </w:pPr>
            <w:r w:rsidRPr="00CF42AA">
              <w:rPr>
                <w:rFonts w:asciiTheme="minorHAnsi" w:hAnsiTheme="minorHAnsi"/>
                <w:sz w:val="20"/>
                <w:szCs w:val="20"/>
              </w:rPr>
              <w:t>No mechanism to track MCO/Optum program efficacy.</w:t>
            </w:r>
          </w:p>
          <w:p w14:paraId="22D8713F" w14:textId="77777777" w:rsidR="0030461F" w:rsidRPr="00CF42AA" w:rsidRDefault="0030461F" w:rsidP="00BE481F">
            <w:pPr>
              <w:pStyle w:val="ListParagraph"/>
              <w:numPr>
                <w:ilvl w:val="0"/>
                <w:numId w:val="32"/>
              </w:numPr>
              <w:spacing w:after="0" w:line="216" w:lineRule="auto"/>
              <w:rPr>
                <w:rFonts w:asciiTheme="minorHAnsi" w:hAnsiTheme="minorHAnsi"/>
                <w:sz w:val="20"/>
                <w:szCs w:val="20"/>
              </w:rPr>
            </w:pPr>
            <w:r w:rsidRPr="00CF42AA">
              <w:rPr>
                <w:rFonts w:asciiTheme="minorHAnsi" w:hAnsiTheme="minorHAnsi"/>
                <w:sz w:val="20"/>
                <w:szCs w:val="20"/>
              </w:rPr>
              <w:t>Pain at injection site leading to increased refusal rates.</w:t>
            </w:r>
          </w:p>
          <w:p w14:paraId="647D47B0" w14:textId="77777777" w:rsidR="0030461F" w:rsidRPr="00CF42AA" w:rsidRDefault="0030461F" w:rsidP="00BE481F">
            <w:pPr>
              <w:pStyle w:val="ListParagraph"/>
              <w:numPr>
                <w:ilvl w:val="0"/>
                <w:numId w:val="32"/>
              </w:numPr>
              <w:spacing w:after="0" w:line="216" w:lineRule="auto"/>
              <w:rPr>
                <w:rFonts w:asciiTheme="minorHAnsi" w:hAnsiTheme="minorHAnsi"/>
                <w:sz w:val="20"/>
                <w:szCs w:val="20"/>
              </w:rPr>
            </w:pPr>
            <w:r w:rsidRPr="00CF42AA">
              <w:rPr>
                <w:rFonts w:asciiTheme="minorHAnsi" w:hAnsiTheme="minorHAnsi"/>
                <w:sz w:val="20"/>
                <w:szCs w:val="20"/>
              </w:rPr>
              <w:t>No clear understanding of patient refusal issues.</w:t>
            </w:r>
          </w:p>
          <w:p w14:paraId="353427EB" w14:textId="77777777" w:rsidR="0030461F" w:rsidRPr="00CF42AA" w:rsidRDefault="0030461F" w:rsidP="00BE481F">
            <w:pPr>
              <w:pStyle w:val="ListParagraph"/>
              <w:numPr>
                <w:ilvl w:val="0"/>
                <w:numId w:val="32"/>
              </w:numPr>
              <w:spacing w:after="0" w:line="216" w:lineRule="auto"/>
              <w:rPr>
                <w:rFonts w:asciiTheme="minorHAnsi" w:hAnsiTheme="minorHAnsi"/>
                <w:sz w:val="20"/>
                <w:szCs w:val="20"/>
              </w:rPr>
            </w:pPr>
            <w:r w:rsidRPr="00CF42AA">
              <w:rPr>
                <w:rFonts w:asciiTheme="minorHAnsi" w:hAnsiTheme="minorHAnsi"/>
                <w:sz w:val="20"/>
                <w:szCs w:val="20"/>
              </w:rPr>
              <w:t>Identification of candidates (providers, MCOs, public health) and treatment referral systems are lacking.</w:t>
            </w:r>
          </w:p>
        </w:tc>
        <w:tc>
          <w:tcPr>
            <w:tcW w:w="5130" w:type="dxa"/>
          </w:tcPr>
          <w:p w14:paraId="2CEC3B50" w14:textId="77777777" w:rsidR="0030461F" w:rsidRPr="00CF42AA" w:rsidRDefault="0030461F" w:rsidP="00511943">
            <w:pPr>
              <w:pStyle w:val="ListParagraph"/>
              <w:spacing w:after="0" w:line="216" w:lineRule="auto"/>
              <w:ind w:left="0"/>
              <w:rPr>
                <w:rFonts w:asciiTheme="minorHAnsi" w:hAnsiTheme="minorHAnsi"/>
                <w:sz w:val="20"/>
                <w:szCs w:val="20"/>
              </w:rPr>
            </w:pPr>
            <w:r w:rsidRPr="00CF42AA">
              <w:rPr>
                <w:rFonts w:asciiTheme="minorHAnsi" w:hAnsiTheme="minorHAnsi"/>
                <w:sz w:val="20"/>
                <w:szCs w:val="20"/>
              </w:rPr>
              <w:t>Establish guidelines/training protocol for admin.</w:t>
            </w:r>
          </w:p>
          <w:p w14:paraId="7DAC36D6" w14:textId="77777777" w:rsidR="0030461F" w:rsidRPr="00CF42AA" w:rsidRDefault="0030461F" w:rsidP="00511943">
            <w:pPr>
              <w:pStyle w:val="ListParagraph"/>
              <w:spacing w:after="0" w:line="216" w:lineRule="auto"/>
              <w:ind w:left="0"/>
              <w:rPr>
                <w:rFonts w:asciiTheme="minorHAnsi" w:hAnsiTheme="minorHAnsi"/>
                <w:sz w:val="20"/>
                <w:szCs w:val="20"/>
              </w:rPr>
            </w:pPr>
          </w:p>
          <w:p w14:paraId="52C0BA95" w14:textId="77777777" w:rsidR="0030461F" w:rsidRPr="00CF42AA" w:rsidRDefault="0030461F" w:rsidP="00176E2A">
            <w:pPr>
              <w:pStyle w:val="ListParagraph"/>
              <w:spacing w:after="0" w:line="216" w:lineRule="auto"/>
              <w:ind w:left="0"/>
              <w:rPr>
                <w:rFonts w:asciiTheme="minorHAnsi" w:hAnsiTheme="minorHAnsi"/>
                <w:sz w:val="20"/>
                <w:szCs w:val="20"/>
              </w:rPr>
            </w:pPr>
            <w:r w:rsidRPr="00CF42AA">
              <w:rPr>
                <w:rFonts w:asciiTheme="minorHAnsi" w:hAnsiTheme="minorHAnsi"/>
                <w:sz w:val="20"/>
                <w:szCs w:val="20"/>
              </w:rPr>
              <w:t>Policy for reimbursement when administered in home or other setting by PHN, APRN, RN, other credentialed “like” practitioner within Optum for a similar service around administration</w:t>
            </w:r>
          </w:p>
        </w:tc>
        <w:tc>
          <w:tcPr>
            <w:tcW w:w="5017" w:type="dxa"/>
          </w:tcPr>
          <w:p w14:paraId="46C2D64C" w14:textId="77777777" w:rsidR="0030461F" w:rsidRPr="00CF42AA" w:rsidRDefault="0030461F" w:rsidP="003D4C62">
            <w:pPr>
              <w:pStyle w:val="ListParagraph"/>
              <w:numPr>
                <w:ilvl w:val="0"/>
                <w:numId w:val="33"/>
              </w:numPr>
              <w:spacing w:after="0" w:line="216" w:lineRule="auto"/>
              <w:rPr>
                <w:rFonts w:asciiTheme="minorHAnsi" w:hAnsiTheme="minorHAnsi"/>
                <w:sz w:val="20"/>
                <w:szCs w:val="20"/>
              </w:rPr>
            </w:pPr>
            <w:r w:rsidRPr="00CF42AA">
              <w:rPr>
                <w:rFonts w:asciiTheme="minorHAnsi" w:hAnsiTheme="minorHAnsi"/>
                <w:sz w:val="20"/>
                <w:szCs w:val="20"/>
              </w:rPr>
              <w:t>Identify existing 17P administration training sources.</w:t>
            </w:r>
          </w:p>
          <w:p w14:paraId="3BA3F83A" w14:textId="77777777" w:rsidR="0030461F" w:rsidRPr="00CF42AA" w:rsidRDefault="0030461F" w:rsidP="003D4C62">
            <w:pPr>
              <w:pStyle w:val="ListParagraph"/>
              <w:spacing w:after="0" w:line="216" w:lineRule="auto"/>
              <w:ind w:left="360"/>
              <w:rPr>
                <w:rFonts w:asciiTheme="minorHAnsi" w:hAnsiTheme="minorHAnsi"/>
                <w:sz w:val="20"/>
                <w:szCs w:val="20"/>
              </w:rPr>
            </w:pPr>
            <w:r w:rsidRPr="00CF42AA">
              <w:rPr>
                <w:rFonts w:asciiTheme="minorHAnsi" w:hAnsiTheme="minorHAnsi"/>
                <w:sz w:val="20"/>
                <w:szCs w:val="20"/>
              </w:rPr>
              <w:t>Develop professional training in partnership with KS TRAIN (Daldrup)</w:t>
            </w:r>
          </w:p>
          <w:p w14:paraId="1C76A203" w14:textId="77777777" w:rsidR="0030461F" w:rsidRPr="00CF42AA" w:rsidRDefault="0030461F" w:rsidP="003D4C62">
            <w:pPr>
              <w:pStyle w:val="ListParagraph"/>
              <w:numPr>
                <w:ilvl w:val="0"/>
                <w:numId w:val="33"/>
              </w:numPr>
              <w:spacing w:after="0" w:line="216" w:lineRule="auto"/>
              <w:rPr>
                <w:rFonts w:asciiTheme="minorHAnsi" w:hAnsiTheme="minorHAnsi"/>
                <w:sz w:val="20"/>
                <w:szCs w:val="20"/>
              </w:rPr>
            </w:pPr>
            <w:r w:rsidRPr="00CF42AA">
              <w:rPr>
                <w:rFonts w:asciiTheme="minorHAnsi" w:hAnsiTheme="minorHAnsi"/>
                <w:sz w:val="20"/>
                <w:szCs w:val="20"/>
              </w:rPr>
              <w:t>Explore Medicaid reimbursement policy for public health administration of 17P injections (Sorell).</w:t>
            </w:r>
          </w:p>
          <w:p w14:paraId="0E3217DF" w14:textId="77777777" w:rsidR="0030461F" w:rsidRPr="00CF42AA" w:rsidRDefault="0030461F" w:rsidP="003D4C62">
            <w:pPr>
              <w:pStyle w:val="ListParagraph"/>
              <w:numPr>
                <w:ilvl w:val="0"/>
                <w:numId w:val="33"/>
              </w:numPr>
              <w:spacing w:after="0" w:line="216" w:lineRule="auto"/>
              <w:rPr>
                <w:rFonts w:asciiTheme="minorHAnsi" w:hAnsiTheme="minorHAnsi"/>
                <w:sz w:val="20"/>
                <w:szCs w:val="20"/>
              </w:rPr>
            </w:pPr>
            <w:r w:rsidRPr="00CF42AA">
              <w:rPr>
                <w:rFonts w:asciiTheme="minorHAnsi" w:hAnsiTheme="minorHAnsi"/>
                <w:sz w:val="20"/>
                <w:szCs w:val="20"/>
              </w:rPr>
              <w:t>Develop mechanism to track 17P utilization and outcomes for MCO/Optum homecare program (MCOs and Optum)</w:t>
            </w:r>
          </w:p>
          <w:p w14:paraId="32CA8421" w14:textId="77777777" w:rsidR="0030461F" w:rsidRPr="00CF42AA" w:rsidRDefault="0030461F" w:rsidP="003D4C62">
            <w:pPr>
              <w:pStyle w:val="ListParagraph"/>
              <w:numPr>
                <w:ilvl w:val="0"/>
                <w:numId w:val="33"/>
              </w:numPr>
              <w:spacing w:after="0" w:line="216" w:lineRule="auto"/>
              <w:rPr>
                <w:rFonts w:asciiTheme="minorHAnsi" w:hAnsiTheme="minorHAnsi"/>
                <w:sz w:val="20"/>
                <w:szCs w:val="20"/>
              </w:rPr>
            </w:pPr>
            <w:r w:rsidRPr="00CF42AA">
              <w:rPr>
                <w:rFonts w:asciiTheme="minorHAnsi" w:hAnsiTheme="minorHAnsi"/>
                <w:sz w:val="20"/>
                <w:szCs w:val="20"/>
              </w:rPr>
              <w:t>Look at what other states are doing related to injection site pain. Share with KMCHC and MCOs to determine KS approach (Daldrup).</w:t>
            </w:r>
          </w:p>
          <w:p w14:paraId="1E3BAFB8" w14:textId="35E49100" w:rsidR="0030461F" w:rsidRPr="00CF42AA" w:rsidRDefault="0030461F" w:rsidP="003D4C62">
            <w:pPr>
              <w:pStyle w:val="ListParagraph"/>
              <w:numPr>
                <w:ilvl w:val="0"/>
                <w:numId w:val="33"/>
              </w:numPr>
              <w:spacing w:after="0" w:line="216" w:lineRule="auto"/>
              <w:rPr>
                <w:rFonts w:asciiTheme="minorHAnsi" w:hAnsiTheme="minorHAnsi"/>
                <w:sz w:val="20"/>
                <w:szCs w:val="20"/>
              </w:rPr>
            </w:pPr>
            <w:r w:rsidRPr="00CF42AA">
              <w:rPr>
                <w:rFonts w:asciiTheme="minorHAnsi" w:hAnsiTheme="minorHAnsi"/>
                <w:sz w:val="20"/>
                <w:szCs w:val="20"/>
              </w:rPr>
              <w:t>Develop and conduct survey/focus groups among 17P candidates to identify concerns and barriers to 17P utilization (Optum sites in Wichita and KCK; Daldrup will coordinate).</w:t>
            </w:r>
          </w:p>
          <w:p w14:paraId="72D0F57D" w14:textId="77777777" w:rsidR="0030461F" w:rsidRPr="00CF42AA" w:rsidRDefault="0030461F" w:rsidP="00B900B7">
            <w:pPr>
              <w:pStyle w:val="ListParagraph"/>
              <w:spacing w:after="0" w:line="216" w:lineRule="auto"/>
              <w:ind w:left="360"/>
              <w:rPr>
                <w:rFonts w:asciiTheme="minorHAnsi" w:hAnsiTheme="minorHAnsi"/>
                <w:color w:val="FF0000"/>
                <w:sz w:val="20"/>
                <w:szCs w:val="20"/>
              </w:rPr>
            </w:pPr>
          </w:p>
        </w:tc>
      </w:tr>
      <w:tr w:rsidR="00CF42AA" w:rsidRPr="00103AAC" w14:paraId="7BC238D9" w14:textId="77777777" w:rsidTr="001B3DBA">
        <w:trPr>
          <w:cantSplit/>
          <w:trHeight w:val="188"/>
        </w:trPr>
        <w:tc>
          <w:tcPr>
            <w:tcW w:w="14940" w:type="dxa"/>
            <w:gridSpan w:val="3"/>
            <w:shd w:val="clear" w:color="auto" w:fill="FFFFFF" w:themeFill="background1"/>
            <w:tcMar>
              <w:top w:w="72" w:type="dxa"/>
              <w:left w:w="115" w:type="dxa"/>
              <w:bottom w:w="72" w:type="dxa"/>
              <w:right w:w="115" w:type="dxa"/>
            </w:tcMar>
          </w:tcPr>
          <w:p w14:paraId="11840B0A" w14:textId="170D24C9" w:rsidR="00CF42AA" w:rsidRPr="00CF42AA" w:rsidRDefault="00CF42AA" w:rsidP="00CF42AA">
            <w:pPr>
              <w:pStyle w:val="ListParagraph"/>
              <w:spacing w:after="0" w:line="216" w:lineRule="auto"/>
              <w:ind w:left="-18"/>
              <w:rPr>
                <w:rFonts w:asciiTheme="minorHAnsi" w:hAnsiTheme="minorHAnsi"/>
                <w:sz w:val="20"/>
                <w:szCs w:val="20"/>
              </w:rPr>
            </w:pPr>
            <w:r w:rsidRPr="00CF42AA">
              <w:rPr>
                <w:rFonts w:asciiTheme="minorHAnsi" w:hAnsiTheme="minorHAnsi"/>
                <w:b/>
                <w:sz w:val="20"/>
                <w:szCs w:val="20"/>
              </w:rPr>
              <w:lastRenderedPageBreak/>
              <w:t>MCH Topic:</w:t>
            </w:r>
            <w:r w:rsidRPr="00CF42AA">
              <w:rPr>
                <w:rFonts w:asciiTheme="minorHAnsi" w:hAnsiTheme="minorHAnsi"/>
                <w:sz w:val="20"/>
                <w:szCs w:val="20"/>
              </w:rPr>
              <w:t xml:space="preserve"> Undocumented population</w:t>
            </w:r>
          </w:p>
          <w:p w14:paraId="17142AFF" w14:textId="6BB20684" w:rsidR="00CF42AA" w:rsidRPr="00CF42AA" w:rsidRDefault="00CF42AA" w:rsidP="00CF42AA">
            <w:pPr>
              <w:spacing w:after="0" w:line="216" w:lineRule="auto"/>
              <w:rPr>
                <w:i/>
                <w:sz w:val="20"/>
                <w:szCs w:val="20"/>
              </w:rPr>
            </w:pPr>
            <w:r w:rsidRPr="00CF42AA">
              <w:rPr>
                <w:b/>
                <w:sz w:val="20"/>
                <w:szCs w:val="20"/>
              </w:rPr>
              <w:t>Related MCH Plan Items:</w:t>
            </w:r>
            <w:r w:rsidRPr="00CF42AA">
              <w:rPr>
                <w:sz w:val="20"/>
                <w:szCs w:val="20"/>
              </w:rPr>
              <w:t xml:space="preserve">  </w:t>
            </w:r>
            <w:r w:rsidRPr="00CF42AA">
              <w:rPr>
                <w:i/>
                <w:sz w:val="20"/>
                <w:szCs w:val="20"/>
              </w:rPr>
              <w:t>Fill in related plan items</w:t>
            </w:r>
          </w:p>
        </w:tc>
      </w:tr>
      <w:tr w:rsidR="00CF42AA" w:rsidRPr="00103AAC" w14:paraId="3D2F2175" w14:textId="77777777" w:rsidTr="006F58BB">
        <w:trPr>
          <w:cantSplit/>
          <w:trHeight w:val="1584"/>
        </w:trPr>
        <w:tc>
          <w:tcPr>
            <w:tcW w:w="4793" w:type="dxa"/>
            <w:shd w:val="clear" w:color="auto" w:fill="FFFFFF" w:themeFill="background1"/>
            <w:tcMar>
              <w:top w:w="72" w:type="dxa"/>
              <w:left w:w="115" w:type="dxa"/>
              <w:bottom w:w="72" w:type="dxa"/>
              <w:right w:w="115" w:type="dxa"/>
            </w:tcMar>
          </w:tcPr>
          <w:p w14:paraId="004EDF2C" w14:textId="77777777" w:rsidR="00CF42AA" w:rsidRPr="00CF42AA" w:rsidRDefault="00CF42AA" w:rsidP="00A55A1D">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Fear</w:t>
            </w:r>
          </w:p>
          <w:p w14:paraId="6CD44325" w14:textId="77777777" w:rsidR="00CF42AA" w:rsidRPr="00CF42AA" w:rsidRDefault="00CF42AA" w:rsidP="00A55A1D">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Language</w:t>
            </w:r>
          </w:p>
          <w:p w14:paraId="2620CA12" w14:textId="77777777" w:rsidR="00CF42AA" w:rsidRPr="00CF42AA" w:rsidRDefault="00CF42AA" w:rsidP="00A55A1D">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 xml:space="preserve">Cultural barriers </w:t>
            </w:r>
          </w:p>
          <w:p w14:paraId="52F4DE7E" w14:textId="77777777" w:rsidR="00CF42AA" w:rsidRPr="00CF42AA" w:rsidRDefault="00CF42AA" w:rsidP="00A55A1D">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Increasing refugees</w:t>
            </w:r>
          </w:p>
          <w:p w14:paraId="17086C54" w14:textId="77777777" w:rsidR="00CF42AA" w:rsidRPr="00CF42AA" w:rsidRDefault="00CF42AA" w:rsidP="00A55A1D">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Access/Transportation</w:t>
            </w:r>
          </w:p>
          <w:p w14:paraId="3930A337" w14:textId="77777777" w:rsidR="00CF42AA" w:rsidRPr="00CF42AA" w:rsidRDefault="00CF42AA" w:rsidP="00A55A1D">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Lack of knowledge</w:t>
            </w:r>
          </w:p>
          <w:p w14:paraId="19F24083" w14:textId="77777777" w:rsidR="00CF42AA" w:rsidRPr="00CF42AA" w:rsidRDefault="00CF42AA" w:rsidP="00A55A1D">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 xml:space="preserve">Receive zero MCH services – how served? </w:t>
            </w:r>
          </w:p>
          <w:p w14:paraId="7DA198A9" w14:textId="77777777" w:rsidR="00CF42AA" w:rsidRPr="00CF42AA" w:rsidRDefault="00CF42AA" w:rsidP="00A55A1D">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ACES</w:t>
            </w:r>
          </w:p>
          <w:p w14:paraId="3B6A78A4" w14:textId="77777777" w:rsidR="00CF42AA" w:rsidRPr="00CF42AA" w:rsidRDefault="00CF42AA" w:rsidP="00A55A1D">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Communication /political support/understanding</w:t>
            </w:r>
          </w:p>
        </w:tc>
        <w:tc>
          <w:tcPr>
            <w:tcW w:w="5130" w:type="dxa"/>
          </w:tcPr>
          <w:p w14:paraId="7EA2FF1F" w14:textId="77777777" w:rsidR="00CF42AA" w:rsidRPr="00CF42AA" w:rsidRDefault="00CF42AA" w:rsidP="00A55A1D">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 xml:space="preserve">Focus groups where this population </w:t>
            </w:r>
            <w:r w:rsidRPr="00CF42AA">
              <w:rPr>
                <w:rFonts w:asciiTheme="minorHAnsi" w:hAnsiTheme="minorHAnsi"/>
                <w:sz w:val="20"/>
                <w:szCs w:val="20"/>
                <w:u w:val="single"/>
              </w:rPr>
              <w:t>is</w:t>
            </w:r>
            <w:r w:rsidRPr="00CF42AA">
              <w:rPr>
                <w:rFonts w:asciiTheme="minorHAnsi" w:hAnsiTheme="minorHAnsi"/>
                <w:sz w:val="20"/>
                <w:szCs w:val="20"/>
              </w:rPr>
              <w:t xml:space="preserve"> being served</w:t>
            </w:r>
          </w:p>
          <w:p w14:paraId="4E223668" w14:textId="77777777" w:rsidR="00CF42AA" w:rsidRPr="00CF42AA" w:rsidRDefault="00CF42AA" w:rsidP="00A55A1D">
            <w:pPr>
              <w:pStyle w:val="ListParagraph"/>
              <w:numPr>
                <w:ilvl w:val="1"/>
                <w:numId w:val="27"/>
              </w:numPr>
              <w:spacing w:after="0" w:line="216" w:lineRule="auto"/>
              <w:ind w:left="432" w:hanging="180"/>
              <w:rPr>
                <w:rFonts w:asciiTheme="minorHAnsi" w:hAnsiTheme="minorHAnsi"/>
                <w:sz w:val="20"/>
                <w:szCs w:val="20"/>
              </w:rPr>
            </w:pPr>
            <w:r w:rsidRPr="00CF42AA">
              <w:rPr>
                <w:rFonts w:asciiTheme="minorHAnsi" w:hAnsiTheme="minorHAnsi"/>
                <w:sz w:val="20"/>
                <w:szCs w:val="20"/>
              </w:rPr>
              <w:t>Identify &amp; support replication of the model</w:t>
            </w:r>
          </w:p>
          <w:p w14:paraId="118E0E39" w14:textId="77777777" w:rsidR="00CF42AA" w:rsidRPr="00CF42AA" w:rsidRDefault="00CF42AA" w:rsidP="00A55A1D">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 xml:space="preserve">Identify what programs/services </w:t>
            </w:r>
            <w:r w:rsidRPr="00CF42AA">
              <w:rPr>
                <w:rFonts w:asciiTheme="minorHAnsi" w:hAnsiTheme="minorHAnsi"/>
                <w:sz w:val="20"/>
                <w:szCs w:val="20"/>
                <w:u w:val="single"/>
              </w:rPr>
              <w:t xml:space="preserve">are </w:t>
            </w:r>
            <w:r w:rsidRPr="00CF42AA">
              <w:rPr>
                <w:rFonts w:asciiTheme="minorHAnsi" w:hAnsiTheme="minorHAnsi"/>
                <w:sz w:val="20"/>
                <w:szCs w:val="20"/>
              </w:rPr>
              <w:t>available – educate providers</w:t>
            </w:r>
          </w:p>
          <w:p w14:paraId="11C45D67" w14:textId="77777777" w:rsidR="00CF42AA" w:rsidRPr="00CF42AA" w:rsidRDefault="00CF42AA" w:rsidP="00A55A1D">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Push for coverage of undocumented pregnant women (argument of when the fetus is recorded as citizen/person)</w:t>
            </w:r>
          </w:p>
        </w:tc>
        <w:tc>
          <w:tcPr>
            <w:tcW w:w="5017" w:type="dxa"/>
          </w:tcPr>
          <w:p w14:paraId="353FF0D7" w14:textId="485E7B55" w:rsidR="00CF42AA" w:rsidRPr="00CF42AA" w:rsidRDefault="00CF42AA" w:rsidP="00CF42AA">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 xml:space="preserve">Identify geographic areas of large pockets of undocumented women of childbearing age.  </w:t>
            </w:r>
            <w:r w:rsidR="006C3281">
              <w:rPr>
                <w:rFonts w:asciiTheme="minorHAnsi" w:hAnsiTheme="minorHAnsi"/>
                <w:i/>
                <w:sz w:val="20"/>
                <w:szCs w:val="20"/>
              </w:rPr>
              <w:t>First, identify best data source for this.</w:t>
            </w:r>
            <w:r w:rsidRPr="00CF42AA">
              <w:rPr>
                <w:rFonts w:asciiTheme="minorHAnsi" w:hAnsiTheme="minorHAnsi"/>
                <w:i/>
                <w:sz w:val="20"/>
                <w:szCs w:val="20"/>
              </w:rPr>
              <w:t xml:space="preserve">  </w:t>
            </w:r>
          </w:p>
          <w:p w14:paraId="4127F1CF" w14:textId="5721F214" w:rsidR="00CF42AA" w:rsidRPr="00CF42AA" w:rsidRDefault="00CF42AA" w:rsidP="00CF42AA">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Identify priority communities to conduct focus groups to determine local needs and develop pilots based upon needs.</w:t>
            </w:r>
          </w:p>
          <w:p w14:paraId="3474733B" w14:textId="77777777" w:rsidR="00CF42AA" w:rsidRPr="00CF42AA" w:rsidRDefault="00CF42AA" w:rsidP="00CF42AA">
            <w:pPr>
              <w:pStyle w:val="ListParagraph"/>
              <w:numPr>
                <w:ilvl w:val="0"/>
                <w:numId w:val="27"/>
              </w:numPr>
              <w:spacing w:after="0" w:line="216" w:lineRule="auto"/>
              <w:ind w:left="162" w:hanging="180"/>
              <w:rPr>
                <w:rFonts w:asciiTheme="minorHAnsi" w:hAnsiTheme="minorHAnsi"/>
                <w:sz w:val="20"/>
                <w:szCs w:val="20"/>
              </w:rPr>
            </w:pPr>
            <w:r w:rsidRPr="00CF42AA">
              <w:rPr>
                <w:rFonts w:asciiTheme="minorHAnsi" w:hAnsiTheme="minorHAnsi"/>
                <w:sz w:val="20"/>
                <w:szCs w:val="20"/>
              </w:rPr>
              <w:t>KDHE BFH meets with Farmworker program in Dec.</w:t>
            </w:r>
          </w:p>
          <w:p w14:paraId="71073953" w14:textId="77777777" w:rsidR="00CF42AA" w:rsidRPr="00CF42AA" w:rsidRDefault="00CF42AA" w:rsidP="00F25D7F">
            <w:pPr>
              <w:spacing w:after="0" w:line="216" w:lineRule="auto"/>
              <w:rPr>
                <w:sz w:val="20"/>
                <w:szCs w:val="20"/>
              </w:rPr>
            </w:pPr>
          </w:p>
        </w:tc>
      </w:tr>
    </w:tbl>
    <w:p w14:paraId="54236C88" w14:textId="77777777" w:rsidR="00010C21" w:rsidRDefault="00010C21">
      <w:pPr>
        <w:rPr>
          <w:rFonts w:ascii="Century Gothic" w:hAnsi="Century Gothic" w:cs="Arial"/>
          <w:b/>
          <w:sz w:val="18"/>
          <w:szCs w:val="18"/>
        </w:rPr>
      </w:pPr>
      <w:bookmarkStart w:id="0" w:name="_GoBack"/>
      <w:bookmarkEnd w:id="0"/>
    </w:p>
    <w:sectPr w:rsidR="00010C21" w:rsidSect="00010C21">
      <w:type w:val="continuous"/>
      <w:pgSz w:w="15840" w:h="12240" w:orient="landscape"/>
      <w:pgMar w:top="630" w:right="720" w:bottom="187"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C777A" w14:textId="77777777" w:rsidR="00B30C41" w:rsidRDefault="00B30C41" w:rsidP="00756C25">
      <w:pPr>
        <w:spacing w:after="0" w:line="240" w:lineRule="auto"/>
      </w:pPr>
      <w:r>
        <w:separator/>
      </w:r>
    </w:p>
  </w:endnote>
  <w:endnote w:type="continuationSeparator" w:id="0">
    <w:p w14:paraId="7E82071F" w14:textId="77777777" w:rsidR="00B30C41" w:rsidRDefault="00B30C41" w:rsidP="0075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93166" w14:textId="77777777" w:rsidR="00B30C41" w:rsidRDefault="00B30C41" w:rsidP="00756C25">
      <w:pPr>
        <w:spacing w:after="0" w:line="240" w:lineRule="auto"/>
      </w:pPr>
      <w:r>
        <w:separator/>
      </w:r>
    </w:p>
  </w:footnote>
  <w:footnote w:type="continuationSeparator" w:id="0">
    <w:p w14:paraId="406DF1AB" w14:textId="77777777" w:rsidR="00B30C41" w:rsidRDefault="00B30C41" w:rsidP="00756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935"/>
    <w:multiLevelType w:val="hybridMultilevel"/>
    <w:tmpl w:val="AF4A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E09F2"/>
    <w:multiLevelType w:val="hybridMultilevel"/>
    <w:tmpl w:val="51A6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162D6"/>
    <w:multiLevelType w:val="hybridMultilevel"/>
    <w:tmpl w:val="C2F2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25819"/>
    <w:multiLevelType w:val="hybridMultilevel"/>
    <w:tmpl w:val="1726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D1837"/>
    <w:multiLevelType w:val="hybridMultilevel"/>
    <w:tmpl w:val="36BC1A6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
    <w:nsid w:val="14D43719"/>
    <w:multiLevelType w:val="multilevel"/>
    <w:tmpl w:val="0FE059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96592F"/>
    <w:multiLevelType w:val="hybridMultilevel"/>
    <w:tmpl w:val="362CBC82"/>
    <w:lvl w:ilvl="0" w:tplc="CD4A0722">
      <w:start w:val="3"/>
      <w:numFmt w:val="bullet"/>
      <w:lvlText w:val="-"/>
      <w:lvlJc w:val="left"/>
      <w:pPr>
        <w:ind w:left="507" w:hanging="360"/>
      </w:pPr>
      <w:rPr>
        <w:rFonts w:ascii="Calibri" w:eastAsia="Calibri" w:hAnsi="Calibri" w:cs="Calibri"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nsid w:val="15C97A9F"/>
    <w:multiLevelType w:val="hybridMultilevel"/>
    <w:tmpl w:val="ECB2104E"/>
    <w:lvl w:ilvl="0" w:tplc="CD4A0722">
      <w:start w:val="3"/>
      <w:numFmt w:val="bullet"/>
      <w:lvlText w:val="-"/>
      <w:lvlJc w:val="left"/>
      <w:pPr>
        <w:ind w:left="525" w:hanging="360"/>
      </w:pPr>
      <w:rPr>
        <w:rFonts w:ascii="Calibri" w:eastAsia="Calibri" w:hAnsi="Calibri" w:cs="Calibr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8">
    <w:nsid w:val="19F04542"/>
    <w:multiLevelType w:val="hybridMultilevel"/>
    <w:tmpl w:val="7B18DDF2"/>
    <w:lvl w:ilvl="0" w:tplc="04090001">
      <w:start w:val="1"/>
      <w:numFmt w:val="bullet"/>
      <w:lvlText w:val=""/>
      <w:lvlJc w:val="left"/>
      <w:pPr>
        <w:ind w:left="507"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293C1873"/>
    <w:multiLevelType w:val="hybridMultilevel"/>
    <w:tmpl w:val="31B0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95DBE"/>
    <w:multiLevelType w:val="hybridMultilevel"/>
    <w:tmpl w:val="41A24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11870"/>
    <w:multiLevelType w:val="hybridMultilevel"/>
    <w:tmpl w:val="6A18B9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35BB032C"/>
    <w:multiLevelType w:val="hybridMultilevel"/>
    <w:tmpl w:val="AEF8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574D0"/>
    <w:multiLevelType w:val="hybridMultilevel"/>
    <w:tmpl w:val="B9F0D340"/>
    <w:lvl w:ilvl="0" w:tplc="4F8AC46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3E9E6757"/>
    <w:multiLevelType w:val="hybridMultilevel"/>
    <w:tmpl w:val="913C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113D27"/>
    <w:multiLevelType w:val="hybridMultilevel"/>
    <w:tmpl w:val="3328E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7BD2C2AA">
      <w:start w:val="6"/>
      <w:numFmt w:val="bullet"/>
      <w:lvlText w:val="-"/>
      <w:lvlJc w:val="left"/>
      <w:pPr>
        <w:ind w:left="4320" w:hanging="360"/>
      </w:pPr>
      <w:rPr>
        <w:rFonts w:ascii="Calibri" w:eastAsiaTheme="minorHAnsi" w:hAnsi="Calibri" w:cstheme="minorBidi" w:hint="default"/>
      </w:rPr>
    </w:lvl>
    <w:lvl w:ilvl="6" w:tplc="04090003">
      <w:start w:val="1"/>
      <w:numFmt w:val="bullet"/>
      <w:lvlText w:val="o"/>
      <w:lvlJc w:val="left"/>
      <w:pPr>
        <w:ind w:left="5040" w:hanging="360"/>
      </w:pPr>
      <w:rPr>
        <w:rFonts w:ascii="Courier New" w:hAnsi="Courier New" w:cs="Courier New"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3B78D6"/>
    <w:multiLevelType w:val="hybridMultilevel"/>
    <w:tmpl w:val="F97CA634"/>
    <w:lvl w:ilvl="0" w:tplc="3C54C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80C7B"/>
    <w:multiLevelType w:val="multilevel"/>
    <w:tmpl w:val="E22AFC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DC57AA"/>
    <w:multiLevelType w:val="hybridMultilevel"/>
    <w:tmpl w:val="C3A65A4A"/>
    <w:lvl w:ilvl="0" w:tplc="330A8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CC4FC7"/>
    <w:multiLevelType w:val="hybridMultilevel"/>
    <w:tmpl w:val="173E1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6C163C"/>
    <w:multiLevelType w:val="hybridMultilevel"/>
    <w:tmpl w:val="B18AAFE4"/>
    <w:lvl w:ilvl="0" w:tplc="74BE0560">
      <w:start w:val="3"/>
      <w:numFmt w:val="bullet"/>
      <w:lvlText w:val="-"/>
      <w:lvlJc w:val="left"/>
      <w:pPr>
        <w:ind w:left="525" w:hanging="360"/>
      </w:pPr>
      <w:rPr>
        <w:rFonts w:ascii="Calibri" w:eastAsia="Calibri" w:hAnsi="Calibri" w:cs="Calibr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1">
    <w:nsid w:val="53AF1D7E"/>
    <w:multiLevelType w:val="hybridMultilevel"/>
    <w:tmpl w:val="B2B20EC8"/>
    <w:lvl w:ilvl="0" w:tplc="0409000F">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11815"/>
    <w:multiLevelType w:val="hybridMultilevel"/>
    <w:tmpl w:val="4AA0361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nsid w:val="5EC03E67"/>
    <w:multiLevelType w:val="hybridMultilevel"/>
    <w:tmpl w:val="715C31D6"/>
    <w:lvl w:ilvl="0" w:tplc="3C34F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44EA3"/>
    <w:multiLevelType w:val="hybridMultilevel"/>
    <w:tmpl w:val="0F9C1F6E"/>
    <w:lvl w:ilvl="0" w:tplc="06A4287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06CB7"/>
    <w:multiLevelType w:val="hybridMultilevel"/>
    <w:tmpl w:val="FB5CBB24"/>
    <w:lvl w:ilvl="0" w:tplc="1AD0E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2AA342F"/>
    <w:multiLevelType w:val="hybridMultilevel"/>
    <w:tmpl w:val="7E68EFDC"/>
    <w:lvl w:ilvl="0" w:tplc="06065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D56358"/>
    <w:multiLevelType w:val="hybridMultilevel"/>
    <w:tmpl w:val="23B42750"/>
    <w:lvl w:ilvl="0" w:tplc="74ECDF8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021773"/>
    <w:multiLevelType w:val="hybridMultilevel"/>
    <w:tmpl w:val="7842FB8A"/>
    <w:lvl w:ilvl="0" w:tplc="78C6D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917810"/>
    <w:multiLevelType w:val="hybridMultilevel"/>
    <w:tmpl w:val="ABF4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146986"/>
    <w:multiLevelType w:val="hybridMultilevel"/>
    <w:tmpl w:val="128E2E98"/>
    <w:lvl w:ilvl="0" w:tplc="84B24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5D6289"/>
    <w:multiLevelType w:val="hybridMultilevel"/>
    <w:tmpl w:val="B2B20EC8"/>
    <w:lvl w:ilvl="0" w:tplc="0409000F">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1C3279"/>
    <w:multiLevelType w:val="hybridMultilevel"/>
    <w:tmpl w:val="18A828D8"/>
    <w:lvl w:ilvl="0" w:tplc="E79E5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12"/>
  </w:num>
  <w:num w:numId="4">
    <w:abstractNumId w:val="30"/>
  </w:num>
  <w:num w:numId="5">
    <w:abstractNumId w:val="14"/>
  </w:num>
  <w:num w:numId="6">
    <w:abstractNumId w:val="10"/>
  </w:num>
  <w:num w:numId="7">
    <w:abstractNumId w:val="5"/>
  </w:num>
  <w:num w:numId="8">
    <w:abstractNumId w:val="21"/>
  </w:num>
  <w:num w:numId="9">
    <w:abstractNumId w:val="32"/>
  </w:num>
  <w:num w:numId="10">
    <w:abstractNumId w:val="24"/>
  </w:num>
  <w:num w:numId="11">
    <w:abstractNumId w:val="3"/>
  </w:num>
  <w:num w:numId="12">
    <w:abstractNumId w:val="19"/>
  </w:num>
  <w:num w:numId="13">
    <w:abstractNumId w:val="2"/>
  </w:num>
  <w:num w:numId="14">
    <w:abstractNumId w:val="17"/>
  </w:num>
  <w:num w:numId="15">
    <w:abstractNumId w:val="31"/>
  </w:num>
  <w:num w:numId="16">
    <w:abstractNumId w:val="0"/>
  </w:num>
  <w:num w:numId="17">
    <w:abstractNumId w:val="27"/>
  </w:num>
  <w:num w:numId="18">
    <w:abstractNumId w:val="16"/>
  </w:num>
  <w:num w:numId="19">
    <w:abstractNumId w:val="25"/>
  </w:num>
  <w:num w:numId="20">
    <w:abstractNumId w:val="18"/>
  </w:num>
  <w:num w:numId="21">
    <w:abstractNumId w:val="29"/>
  </w:num>
  <w:num w:numId="22">
    <w:abstractNumId w:val="23"/>
  </w:num>
  <w:num w:numId="23">
    <w:abstractNumId w:val="33"/>
  </w:num>
  <w:num w:numId="24">
    <w:abstractNumId w:val="20"/>
  </w:num>
  <w:num w:numId="25">
    <w:abstractNumId w:val="7"/>
  </w:num>
  <w:num w:numId="26">
    <w:abstractNumId w:val="6"/>
  </w:num>
  <w:num w:numId="27">
    <w:abstractNumId w:val="8"/>
  </w:num>
  <w:num w:numId="28">
    <w:abstractNumId w:val="15"/>
  </w:num>
  <w:num w:numId="29">
    <w:abstractNumId w:val="1"/>
  </w:num>
  <w:num w:numId="30">
    <w:abstractNumId w:val="11"/>
  </w:num>
  <w:num w:numId="31">
    <w:abstractNumId w:val="4"/>
  </w:num>
  <w:num w:numId="32">
    <w:abstractNumId w:val="13"/>
  </w:num>
  <w:num w:numId="33">
    <w:abstractNumId w:val="2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o:colormru v:ext="edit" colors="#a0d222,#11bbb9,#2398c5,#fbb216,#bbd46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CB"/>
    <w:rsid w:val="00010C21"/>
    <w:rsid w:val="000144A7"/>
    <w:rsid w:val="00040E2D"/>
    <w:rsid w:val="0004265F"/>
    <w:rsid w:val="00042A0D"/>
    <w:rsid w:val="00042B32"/>
    <w:rsid w:val="000522D3"/>
    <w:rsid w:val="00053873"/>
    <w:rsid w:val="00066721"/>
    <w:rsid w:val="00067A1B"/>
    <w:rsid w:val="000754CE"/>
    <w:rsid w:val="00083FBB"/>
    <w:rsid w:val="000A7367"/>
    <w:rsid w:val="000B7E6B"/>
    <w:rsid w:val="000C60A3"/>
    <w:rsid w:val="000D1FE0"/>
    <w:rsid w:val="000D262C"/>
    <w:rsid w:val="000D5A28"/>
    <w:rsid w:val="000E1A79"/>
    <w:rsid w:val="000E35DB"/>
    <w:rsid w:val="000F3129"/>
    <w:rsid w:val="000F7B3F"/>
    <w:rsid w:val="00103AAC"/>
    <w:rsid w:val="00113D2D"/>
    <w:rsid w:val="00140C34"/>
    <w:rsid w:val="00140EC9"/>
    <w:rsid w:val="00151962"/>
    <w:rsid w:val="00151DA9"/>
    <w:rsid w:val="00152F6A"/>
    <w:rsid w:val="001677D9"/>
    <w:rsid w:val="00176E2A"/>
    <w:rsid w:val="00197379"/>
    <w:rsid w:val="001A4A40"/>
    <w:rsid w:val="001C7975"/>
    <w:rsid w:val="001D416C"/>
    <w:rsid w:val="001D54D3"/>
    <w:rsid w:val="001E1302"/>
    <w:rsid w:val="001E7604"/>
    <w:rsid w:val="00201ACB"/>
    <w:rsid w:val="00204FD8"/>
    <w:rsid w:val="00207234"/>
    <w:rsid w:val="002132AC"/>
    <w:rsid w:val="0022585F"/>
    <w:rsid w:val="00231624"/>
    <w:rsid w:val="002334EB"/>
    <w:rsid w:val="002354BC"/>
    <w:rsid w:val="002379F3"/>
    <w:rsid w:val="00241C6F"/>
    <w:rsid w:val="00241CC3"/>
    <w:rsid w:val="002455EA"/>
    <w:rsid w:val="00250411"/>
    <w:rsid w:val="00270883"/>
    <w:rsid w:val="0028602F"/>
    <w:rsid w:val="002A68F8"/>
    <w:rsid w:val="002B2388"/>
    <w:rsid w:val="002B2F13"/>
    <w:rsid w:val="002C2137"/>
    <w:rsid w:val="002C65DE"/>
    <w:rsid w:val="002D032B"/>
    <w:rsid w:val="002D70AD"/>
    <w:rsid w:val="002F6693"/>
    <w:rsid w:val="0030461F"/>
    <w:rsid w:val="00306579"/>
    <w:rsid w:val="003102AB"/>
    <w:rsid w:val="003144EF"/>
    <w:rsid w:val="00314574"/>
    <w:rsid w:val="00317B37"/>
    <w:rsid w:val="00323E40"/>
    <w:rsid w:val="00332308"/>
    <w:rsid w:val="00336E5F"/>
    <w:rsid w:val="003443E9"/>
    <w:rsid w:val="00350BF8"/>
    <w:rsid w:val="00352503"/>
    <w:rsid w:val="003706B9"/>
    <w:rsid w:val="00376635"/>
    <w:rsid w:val="003932B3"/>
    <w:rsid w:val="003C4068"/>
    <w:rsid w:val="003C6CE6"/>
    <w:rsid w:val="003D4A7F"/>
    <w:rsid w:val="003D4C62"/>
    <w:rsid w:val="003D6ACE"/>
    <w:rsid w:val="003D745E"/>
    <w:rsid w:val="003D74C9"/>
    <w:rsid w:val="003E091F"/>
    <w:rsid w:val="003F0625"/>
    <w:rsid w:val="003F2D55"/>
    <w:rsid w:val="003F767C"/>
    <w:rsid w:val="00400DC2"/>
    <w:rsid w:val="004019AC"/>
    <w:rsid w:val="00403D2B"/>
    <w:rsid w:val="00425780"/>
    <w:rsid w:val="004406A7"/>
    <w:rsid w:val="00446F3F"/>
    <w:rsid w:val="004522AD"/>
    <w:rsid w:val="0047031A"/>
    <w:rsid w:val="004943E6"/>
    <w:rsid w:val="00494587"/>
    <w:rsid w:val="00494D72"/>
    <w:rsid w:val="004B0181"/>
    <w:rsid w:val="004C56DC"/>
    <w:rsid w:val="004C5A57"/>
    <w:rsid w:val="004C617C"/>
    <w:rsid w:val="004E461D"/>
    <w:rsid w:val="00511943"/>
    <w:rsid w:val="00512B79"/>
    <w:rsid w:val="00514477"/>
    <w:rsid w:val="00514C41"/>
    <w:rsid w:val="00520F4D"/>
    <w:rsid w:val="005307A4"/>
    <w:rsid w:val="0053468F"/>
    <w:rsid w:val="00544B61"/>
    <w:rsid w:val="00552904"/>
    <w:rsid w:val="00554A51"/>
    <w:rsid w:val="00554C45"/>
    <w:rsid w:val="00561E17"/>
    <w:rsid w:val="005777FA"/>
    <w:rsid w:val="00597BB8"/>
    <w:rsid w:val="00597E51"/>
    <w:rsid w:val="005A556E"/>
    <w:rsid w:val="005D069C"/>
    <w:rsid w:val="005D3D93"/>
    <w:rsid w:val="005D5A46"/>
    <w:rsid w:val="005E0F93"/>
    <w:rsid w:val="005E2F23"/>
    <w:rsid w:val="0060303D"/>
    <w:rsid w:val="00611ACB"/>
    <w:rsid w:val="00617770"/>
    <w:rsid w:val="00623BA8"/>
    <w:rsid w:val="00624623"/>
    <w:rsid w:val="00643565"/>
    <w:rsid w:val="006438F1"/>
    <w:rsid w:val="006442D4"/>
    <w:rsid w:val="006525CE"/>
    <w:rsid w:val="006527BE"/>
    <w:rsid w:val="006555CB"/>
    <w:rsid w:val="0066220F"/>
    <w:rsid w:val="00671AD1"/>
    <w:rsid w:val="00671C31"/>
    <w:rsid w:val="006759F2"/>
    <w:rsid w:val="00680C14"/>
    <w:rsid w:val="0068189F"/>
    <w:rsid w:val="00682443"/>
    <w:rsid w:val="00683254"/>
    <w:rsid w:val="00687FE5"/>
    <w:rsid w:val="0069404B"/>
    <w:rsid w:val="00694A52"/>
    <w:rsid w:val="006A1E5B"/>
    <w:rsid w:val="006B0A61"/>
    <w:rsid w:val="006B1097"/>
    <w:rsid w:val="006C3281"/>
    <w:rsid w:val="006C3EBC"/>
    <w:rsid w:val="006E2972"/>
    <w:rsid w:val="006F08A9"/>
    <w:rsid w:val="007065A1"/>
    <w:rsid w:val="007069C0"/>
    <w:rsid w:val="007077B0"/>
    <w:rsid w:val="00707F34"/>
    <w:rsid w:val="007153AB"/>
    <w:rsid w:val="00717821"/>
    <w:rsid w:val="00722C11"/>
    <w:rsid w:val="00723C1C"/>
    <w:rsid w:val="0072621A"/>
    <w:rsid w:val="00731482"/>
    <w:rsid w:val="00734BAF"/>
    <w:rsid w:val="00751330"/>
    <w:rsid w:val="00756C25"/>
    <w:rsid w:val="007653FA"/>
    <w:rsid w:val="0077458C"/>
    <w:rsid w:val="00774A80"/>
    <w:rsid w:val="00783543"/>
    <w:rsid w:val="00784F17"/>
    <w:rsid w:val="007C61C6"/>
    <w:rsid w:val="007E03E4"/>
    <w:rsid w:val="007F2376"/>
    <w:rsid w:val="007F6335"/>
    <w:rsid w:val="0081350D"/>
    <w:rsid w:val="008232B9"/>
    <w:rsid w:val="008318E1"/>
    <w:rsid w:val="00835493"/>
    <w:rsid w:val="0083745C"/>
    <w:rsid w:val="00844E9D"/>
    <w:rsid w:val="00847075"/>
    <w:rsid w:val="008470C8"/>
    <w:rsid w:val="00850165"/>
    <w:rsid w:val="00853196"/>
    <w:rsid w:val="0086010D"/>
    <w:rsid w:val="008653DA"/>
    <w:rsid w:val="0087092B"/>
    <w:rsid w:val="008A0881"/>
    <w:rsid w:val="008A78AC"/>
    <w:rsid w:val="008B1441"/>
    <w:rsid w:val="008B5083"/>
    <w:rsid w:val="008B546B"/>
    <w:rsid w:val="008B68DA"/>
    <w:rsid w:val="008C25CB"/>
    <w:rsid w:val="008C2DD4"/>
    <w:rsid w:val="008C6B2E"/>
    <w:rsid w:val="008D2724"/>
    <w:rsid w:val="008E3DE4"/>
    <w:rsid w:val="008E7691"/>
    <w:rsid w:val="008F5B25"/>
    <w:rsid w:val="00902FD4"/>
    <w:rsid w:val="00925910"/>
    <w:rsid w:val="00940856"/>
    <w:rsid w:val="00955A58"/>
    <w:rsid w:val="0095794E"/>
    <w:rsid w:val="00974321"/>
    <w:rsid w:val="00981E6C"/>
    <w:rsid w:val="009A1B0A"/>
    <w:rsid w:val="009A5F5C"/>
    <w:rsid w:val="009A7754"/>
    <w:rsid w:val="009B4D66"/>
    <w:rsid w:val="009D0206"/>
    <w:rsid w:val="009F1747"/>
    <w:rsid w:val="009F709E"/>
    <w:rsid w:val="00A0209F"/>
    <w:rsid w:val="00A10B40"/>
    <w:rsid w:val="00A31BB1"/>
    <w:rsid w:val="00A34F42"/>
    <w:rsid w:val="00A35ECF"/>
    <w:rsid w:val="00A41E81"/>
    <w:rsid w:val="00A51293"/>
    <w:rsid w:val="00A51CA9"/>
    <w:rsid w:val="00A55A1D"/>
    <w:rsid w:val="00A64A9A"/>
    <w:rsid w:val="00AA7825"/>
    <w:rsid w:val="00AB1E8A"/>
    <w:rsid w:val="00AD1B83"/>
    <w:rsid w:val="00AE247F"/>
    <w:rsid w:val="00AE7539"/>
    <w:rsid w:val="00AF03C5"/>
    <w:rsid w:val="00B003D4"/>
    <w:rsid w:val="00B11A13"/>
    <w:rsid w:val="00B123F7"/>
    <w:rsid w:val="00B22D92"/>
    <w:rsid w:val="00B30C41"/>
    <w:rsid w:val="00B33ECB"/>
    <w:rsid w:val="00B37095"/>
    <w:rsid w:val="00B63D0A"/>
    <w:rsid w:val="00B818FF"/>
    <w:rsid w:val="00B900B7"/>
    <w:rsid w:val="00BB3257"/>
    <w:rsid w:val="00BC1A1A"/>
    <w:rsid w:val="00BD0D9A"/>
    <w:rsid w:val="00BD1929"/>
    <w:rsid w:val="00BD6C89"/>
    <w:rsid w:val="00BE481F"/>
    <w:rsid w:val="00BE628A"/>
    <w:rsid w:val="00C021BF"/>
    <w:rsid w:val="00C02404"/>
    <w:rsid w:val="00C046B1"/>
    <w:rsid w:val="00C05734"/>
    <w:rsid w:val="00C16659"/>
    <w:rsid w:val="00C21C52"/>
    <w:rsid w:val="00C21DBB"/>
    <w:rsid w:val="00C36047"/>
    <w:rsid w:val="00C56861"/>
    <w:rsid w:val="00C65E1C"/>
    <w:rsid w:val="00C673E5"/>
    <w:rsid w:val="00C76766"/>
    <w:rsid w:val="00C77C5E"/>
    <w:rsid w:val="00C85E96"/>
    <w:rsid w:val="00C86853"/>
    <w:rsid w:val="00CA15FB"/>
    <w:rsid w:val="00CB1CA7"/>
    <w:rsid w:val="00CB7F77"/>
    <w:rsid w:val="00CD0A6D"/>
    <w:rsid w:val="00CD3313"/>
    <w:rsid w:val="00CD43D5"/>
    <w:rsid w:val="00CE5517"/>
    <w:rsid w:val="00CF42AA"/>
    <w:rsid w:val="00CF6639"/>
    <w:rsid w:val="00D00F72"/>
    <w:rsid w:val="00D02909"/>
    <w:rsid w:val="00D05BDD"/>
    <w:rsid w:val="00D11F32"/>
    <w:rsid w:val="00D21952"/>
    <w:rsid w:val="00D2250B"/>
    <w:rsid w:val="00D32933"/>
    <w:rsid w:val="00D34DD7"/>
    <w:rsid w:val="00D46627"/>
    <w:rsid w:val="00D627B4"/>
    <w:rsid w:val="00D87438"/>
    <w:rsid w:val="00D8798E"/>
    <w:rsid w:val="00D92ECF"/>
    <w:rsid w:val="00D93177"/>
    <w:rsid w:val="00DA0D8E"/>
    <w:rsid w:val="00DB1AB2"/>
    <w:rsid w:val="00DB4731"/>
    <w:rsid w:val="00DC0089"/>
    <w:rsid w:val="00DC4D70"/>
    <w:rsid w:val="00DD4858"/>
    <w:rsid w:val="00DD7A89"/>
    <w:rsid w:val="00DF435B"/>
    <w:rsid w:val="00DF5FCD"/>
    <w:rsid w:val="00E16D33"/>
    <w:rsid w:val="00E24746"/>
    <w:rsid w:val="00E2525B"/>
    <w:rsid w:val="00E273D5"/>
    <w:rsid w:val="00E33AD8"/>
    <w:rsid w:val="00E352D3"/>
    <w:rsid w:val="00E44162"/>
    <w:rsid w:val="00E4515D"/>
    <w:rsid w:val="00E60CEE"/>
    <w:rsid w:val="00E629C9"/>
    <w:rsid w:val="00E930B8"/>
    <w:rsid w:val="00EB07D9"/>
    <w:rsid w:val="00EB58CD"/>
    <w:rsid w:val="00EC012B"/>
    <w:rsid w:val="00EC1508"/>
    <w:rsid w:val="00EC1FE8"/>
    <w:rsid w:val="00EC2530"/>
    <w:rsid w:val="00EC2A25"/>
    <w:rsid w:val="00EE0110"/>
    <w:rsid w:val="00EE1C76"/>
    <w:rsid w:val="00EF263B"/>
    <w:rsid w:val="00F0534C"/>
    <w:rsid w:val="00F1231D"/>
    <w:rsid w:val="00F16735"/>
    <w:rsid w:val="00F2369D"/>
    <w:rsid w:val="00F25D7F"/>
    <w:rsid w:val="00F4122B"/>
    <w:rsid w:val="00F6268D"/>
    <w:rsid w:val="00F7383E"/>
    <w:rsid w:val="00F76387"/>
    <w:rsid w:val="00F838CD"/>
    <w:rsid w:val="00FB326B"/>
    <w:rsid w:val="00FC04C6"/>
    <w:rsid w:val="00FD5CEE"/>
    <w:rsid w:val="00FD5D46"/>
    <w:rsid w:val="00FD62E1"/>
    <w:rsid w:val="00FE70D7"/>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a0d222,#11bbb9,#2398c5,#fbb216,#bbd467"/>
    </o:shapedefaults>
    <o:shapelayout v:ext="edit">
      <o:idmap v:ext="edit" data="1"/>
    </o:shapelayout>
  </w:shapeDefaults>
  <w:decimalSymbol w:val="."/>
  <w:listSeparator w:val=","/>
  <w14:docId w14:val="5E66890F"/>
  <w15:docId w15:val="{E29437E1-BD95-4808-B8E4-83D2D42B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3E4"/>
    <w:rPr>
      <w:rFonts w:ascii="Segoe UI" w:hAnsi="Segoe UI" w:cs="Segoe UI"/>
      <w:sz w:val="18"/>
      <w:szCs w:val="18"/>
    </w:rPr>
  </w:style>
  <w:style w:type="paragraph" w:styleId="Header">
    <w:name w:val="header"/>
    <w:basedOn w:val="Normal"/>
    <w:link w:val="HeaderChar"/>
    <w:uiPriority w:val="99"/>
    <w:unhideWhenUsed/>
    <w:rsid w:val="000D262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D262C"/>
    <w:rPr>
      <w:rFonts w:ascii="Calibri" w:eastAsia="Calibri" w:hAnsi="Calibri" w:cs="Times New Roman"/>
    </w:rPr>
  </w:style>
  <w:style w:type="character" w:styleId="CommentReference">
    <w:name w:val="annotation reference"/>
    <w:basedOn w:val="DefaultParagraphFont"/>
    <w:uiPriority w:val="99"/>
    <w:semiHidden/>
    <w:unhideWhenUsed/>
    <w:rsid w:val="001C7975"/>
    <w:rPr>
      <w:sz w:val="16"/>
      <w:szCs w:val="16"/>
    </w:rPr>
  </w:style>
  <w:style w:type="paragraph" w:styleId="CommentText">
    <w:name w:val="annotation text"/>
    <w:basedOn w:val="Normal"/>
    <w:link w:val="CommentTextChar"/>
    <w:uiPriority w:val="99"/>
    <w:unhideWhenUsed/>
    <w:rsid w:val="001C7975"/>
    <w:pPr>
      <w:spacing w:line="240" w:lineRule="auto"/>
    </w:pPr>
    <w:rPr>
      <w:sz w:val="20"/>
      <w:szCs w:val="20"/>
    </w:rPr>
  </w:style>
  <w:style w:type="character" w:customStyle="1" w:styleId="CommentTextChar">
    <w:name w:val="Comment Text Char"/>
    <w:basedOn w:val="DefaultParagraphFont"/>
    <w:link w:val="CommentText"/>
    <w:uiPriority w:val="99"/>
    <w:rsid w:val="001C7975"/>
    <w:rPr>
      <w:sz w:val="20"/>
      <w:szCs w:val="20"/>
    </w:rPr>
  </w:style>
  <w:style w:type="paragraph" w:styleId="CommentSubject">
    <w:name w:val="annotation subject"/>
    <w:basedOn w:val="CommentText"/>
    <w:next w:val="CommentText"/>
    <w:link w:val="CommentSubjectChar"/>
    <w:uiPriority w:val="99"/>
    <w:semiHidden/>
    <w:unhideWhenUsed/>
    <w:rsid w:val="001C7975"/>
    <w:rPr>
      <w:b/>
      <w:bCs/>
    </w:rPr>
  </w:style>
  <w:style w:type="character" w:customStyle="1" w:styleId="CommentSubjectChar">
    <w:name w:val="Comment Subject Char"/>
    <w:basedOn w:val="CommentTextChar"/>
    <w:link w:val="CommentSubject"/>
    <w:uiPriority w:val="99"/>
    <w:semiHidden/>
    <w:rsid w:val="001C7975"/>
    <w:rPr>
      <w:b/>
      <w:bCs/>
      <w:sz w:val="20"/>
      <w:szCs w:val="20"/>
    </w:rPr>
  </w:style>
  <w:style w:type="paragraph" w:styleId="ListParagraph">
    <w:name w:val="List Paragraph"/>
    <w:basedOn w:val="Normal"/>
    <w:uiPriority w:val="34"/>
    <w:qFormat/>
    <w:rsid w:val="00C21DBB"/>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9B4D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706B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706B9"/>
    <w:rPr>
      <w:rFonts w:ascii="Times New Roman" w:eastAsia="Times New Roman" w:hAnsi="Times New Roman" w:cs="Times New Roman"/>
      <w:sz w:val="24"/>
      <w:szCs w:val="24"/>
    </w:rPr>
  </w:style>
  <w:style w:type="paragraph" w:customStyle="1" w:styleId="NormalArial">
    <w:name w:val="Normal + Arial"/>
    <w:basedOn w:val="Normal"/>
    <w:link w:val="NormalArialChar"/>
    <w:rsid w:val="003706B9"/>
    <w:pPr>
      <w:spacing w:after="0" w:line="240" w:lineRule="auto"/>
    </w:pPr>
    <w:rPr>
      <w:rFonts w:ascii="Arial" w:eastAsia="Times New Roman" w:hAnsi="Arial" w:cs="Arial"/>
      <w:sz w:val="24"/>
      <w:szCs w:val="24"/>
    </w:rPr>
  </w:style>
  <w:style w:type="paragraph" w:customStyle="1" w:styleId="Formstyle">
    <w:name w:val="Form style"/>
    <w:basedOn w:val="NormalArial"/>
    <w:next w:val="BodyText"/>
    <w:link w:val="FormstyleChar"/>
    <w:rsid w:val="003706B9"/>
    <w:pPr>
      <w:spacing w:before="120" w:after="120"/>
    </w:pPr>
    <w:rPr>
      <w:i/>
    </w:rPr>
  </w:style>
  <w:style w:type="character" w:customStyle="1" w:styleId="NormalArialChar">
    <w:name w:val="Normal + Arial Char"/>
    <w:link w:val="NormalArial"/>
    <w:rsid w:val="003706B9"/>
    <w:rPr>
      <w:rFonts w:ascii="Arial" w:eastAsia="Times New Roman" w:hAnsi="Arial" w:cs="Arial"/>
      <w:sz w:val="24"/>
      <w:szCs w:val="24"/>
    </w:rPr>
  </w:style>
  <w:style w:type="character" w:customStyle="1" w:styleId="FormstyleChar">
    <w:name w:val="Form style Char"/>
    <w:link w:val="Formstyle"/>
    <w:rsid w:val="003706B9"/>
    <w:rPr>
      <w:rFonts w:ascii="Arial" w:eastAsia="Times New Roman" w:hAnsi="Arial" w:cs="Arial"/>
      <w:i/>
      <w:sz w:val="24"/>
      <w:szCs w:val="24"/>
    </w:rPr>
  </w:style>
  <w:style w:type="paragraph" w:customStyle="1" w:styleId="Heading">
    <w:name w:val="Heading"/>
    <w:basedOn w:val="NormalArial"/>
    <w:next w:val="BodyText"/>
    <w:link w:val="HeadingChar"/>
    <w:rsid w:val="003706B9"/>
    <w:pPr>
      <w:spacing w:before="120" w:after="120"/>
    </w:pPr>
    <w:rPr>
      <w:b/>
      <w:sz w:val="36"/>
      <w:szCs w:val="36"/>
    </w:rPr>
  </w:style>
  <w:style w:type="character" w:customStyle="1" w:styleId="HeadingChar">
    <w:name w:val="Heading Char"/>
    <w:link w:val="Heading"/>
    <w:rsid w:val="003706B9"/>
    <w:rPr>
      <w:rFonts w:ascii="Arial" w:eastAsia="Times New Roman" w:hAnsi="Arial" w:cs="Arial"/>
      <w:b/>
      <w:sz w:val="36"/>
      <w:szCs w:val="36"/>
    </w:rPr>
  </w:style>
  <w:style w:type="character" w:styleId="Hyperlink">
    <w:name w:val="Hyperlink"/>
    <w:basedOn w:val="DefaultParagraphFont"/>
    <w:uiPriority w:val="99"/>
    <w:unhideWhenUsed/>
    <w:rsid w:val="00783543"/>
    <w:rPr>
      <w:color w:val="0563C1" w:themeColor="hyperlink"/>
      <w:u w:val="single"/>
    </w:rPr>
  </w:style>
  <w:style w:type="character" w:styleId="Strong">
    <w:name w:val="Strong"/>
    <w:basedOn w:val="DefaultParagraphFont"/>
    <w:uiPriority w:val="22"/>
    <w:qFormat/>
    <w:rsid w:val="00042B32"/>
    <w:rPr>
      <w:b/>
      <w:bCs/>
    </w:rPr>
  </w:style>
  <w:style w:type="paragraph" w:styleId="Footer">
    <w:name w:val="footer"/>
    <w:basedOn w:val="Normal"/>
    <w:link w:val="FooterChar"/>
    <w:uiPriority w:val="99"/>
    <w:unhideWhenUsed/>
    <w:rsid w:val="0075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C25"/>
  </w:style>
  <w:style w:type="paragraph" w:styleId="NoSpacing">
    <w:name w:val="No Spacing"/>
    <w:basedOn w:val="Normal"/>
    <w:uiPriority w:val="1"/>
    <w:qFormat/>
    <w:rsid w:val="006E2972"/>
    <w:pPr>
      <w:spacing w:after="0" w:line="240" w:lineRule="auto"/>
    </w:pPr>
    <w:rPr>
      <w:rFonts w:cs="Times New Roman"/>
      <w:sz w:val="24"/>
      <w:szCs w:val="32"/>
      <w:lang w:bidi="en-US"/>
    </w:rPr>
  </w:style>
  <w:style w:type="paragraph" w:customStyle="1" w:styleId="Default">
    <w:name w:val="Default"/>
    <w:rsid w:val="002A68F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0778">
      <w:bodyDiv w:val="1"/>
      <w:marLeft w:val="0"/>
      <w:marRight w:val="0"/>
      <w:marTop w:val="0"/>
      <w:marBottom w:val="0"/>
      <w:divBdr>
        <w:top w:val="none" w:sz="0" w:space="0" w:color="auto"/>
        <w:left w:val="none" w:sz="0" w:space="0" w:color="auto"/>
        <w:bottom w:val="none" w:sz="0" w:space="0" w:color="auto"/>
        <w:right w:val="none" w:sz="0" w:space="0" w:color="auto"/>
      </w:divBdr>
    </w:div>
    <w:div w:id="161242285">
      <w:bodyDiv w:val="1"/>
      <w:marLeft w:val="0"/>
      <w:marRight w:val="0"/>
      <w:marTop w:val="0"/>
      <w:marBottom w:val="0"/>
      <w:divBdr>
        <w:top w:val="none" w:sz="0" w:space="0" w:color="auto"/>
        <w:left w:val="none" w:sz="0" w:space="0" w:color="auto"/>
        <w:bottom w:val="none" w:sz="0" w:space="0" w:color="auto"/>
        <w:right w:val="none" w:sz="0" w:space="0" w:color="auto"/>
      </w:divBdr>
    </w:div>
    <w:div w:id="242955887">
      <w:bodyDiv w:val="1"/>
      <w:marLeft w:val="0"/>
      <w:marRight w:val="0"/>
      <w:marTop w:val="0"/>
      <w:marBottom w:val="0"/>
      <w:divBdr>
        <w:top w:val="none" w:sz="0" w:space="0" w:color="auto"/>
        <w:left w:val="none" w:sz="0" w:space="0" w:color="auto"/>
        <w:bottom w:val="none" w:sz="0" w:space="0" w:color="auto"/>
        <w:right w:val="none" w:sz="0" w:space="0" w:color="auto"/>
      </w:divBdr>
    </w:div>
    <w:div w:id="248806818">
      <w:bodyDiv w:val="1"/>
      <w:marLeft w:val="0"/>
      <w:marRight w:val="0"/>
      <w:marTop w:val="0"/>
      <w:marBottom w:val="0"/>
      <w:divBdr>
        <w:top w:val="none" w:sz="0" w:space="0" w:color="auto"/>
        <w:left w:val="none" w:sz="0" w:space="0" w:color="auto"/>
        <w:bottom w:val="none" w:sz="0" w:space="0" w:color="auto"/>
        <w:right w:val="none" w:sz="0" w:space="0" w:color="auto"/>
      </w:divBdr>
    </w:div>
    <w:div w:id="815025027">
      <w:bodyDiv w:val="1"/>
      <w:marLeft w:val="0"/>
      <w:marRight w:val="0"/>
      <w:marTop w:val="0"/>
      <w:marBottom w:val="0"/>
      <w:divBdr>
        <w:top w:val="none" w:sz="0" w:space="0" w:color="auto"/>
        <w:left w:val="none" w:sz="0" w:space="0" w:color="auto"/>
        <w:bottom w:val="none" w:sz="0" w:space="0" w:color="auto"/>
        <w:right w:val="none" w:sz="0" w:space="0" w:color="auto"/>
      </w:divBdr>
    </w:div>
    <w:div w:id="899486792">
      <w:bodyDiv w:val="1"/>
      <w:marLeft w:val="0"/>
      <w:marRight w:val="0"/>
      <w:marTop w:val="0"/>
      <w:marBottom w:val="0"/>
      <w:divBdr>
        <w:top w:val="none" w:sz="0" w:space="0" w:color="auto"/>
        <w:left w:val="none" w:sz="0" w:space="0" w:color="auto"/>
        <w:bottom w:val="none" w:sz="0" w:space="0" w:color="auto"/>
        <w:right w:val="none" w:sz="0" w:space="0" w:color="auto"/>
      </w:divBdr>
    </w:div>
    <w:div w:id="926428049">
      <w:bodyDiv w:val="1"/>
      <w:marLeft w:val="0"/>
      <w:marRight w:val="0"/>
      <w:marTop w:val="0"/>
      <w:marBottom w:val="0"/>
      <w:divBdr>
        <w:top w:val="none" w:sz="0" w:space="0" w:color="auto"/>
        <w:left w:val="none" w:sz="0" w:space="0" w:color="auto"/>
        <w:bottom w:val="none" w:sz="0" w:space="0" w:color="auto"/>
        <w:right w:val="none" w:sz="0" w:space="0" w:color="auto"/>
      </w:divBdr>
    </w:div>
    <w:div w:id="1670406366">
      <w:bodyDiv w:val="1"/>
      <w:marLeft w:val="0"/>
      <w:marRight w:val="0"/>
      <w:marTop w:val="0"/>
      <w:marBottom w:val="0"/>
      <w:divBdr>
        <w:top w:val="none" w:sz="0" w:space="0" w:color="auto"/>
        <w:left w:val="none" w:sz="0" w:space="0" w:color="auto"/>
        <w:bottom w:val="none" w:sz="0" w:space="0" w:color="auto"/>
        <w:right w:val="none" w:sz="0" w:space="0" w:color="auto"/>
      </w:divBdr>
    </w:div>
    <w:div w:id="20132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6D168-76CB-40C4-85B3-992D9B2D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Scudellari</dc:creator>
  <cp:lastModifiedBy>Connie J. Satzler</cp:lastModifiedBy>
  <cp:revision>4</cp:revision>
  <cp:lastPrinted>2016-06-21T16:06:00Z</cp:lastPrinted>
  <dcterms:created xsi:type="dcterms:W3CDTF">2018-01-10T14:55:00Z</dcterms:created>
  <dcterms:modified xsi:type="dcterms:W3CDTF">2018-01-10T15:51:00Z</dcterms:modified>
</cp:coreProperties>
</file>